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5" w:rsidRPr="008B0B87" w:rsidRDefault="003E11FD" w:rsidP="00392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9118" cy="115447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er_Columbu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18" cy="115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3E">
        <w:rPr>
          <w:rFonts w:ascii="Times New Roman" w:hAnsi="Times New Roman" w:cs="Times New Roman"/>
          <w:b/>
          <w:sz w:val="24"/>
          <w:szCs w:val="24"/>
        </w:rPr>
        <w:t xml:space="preserve">The Association of Government </w:t>
      </w:r>
      <w:r w:rsidR="00392F3E" w:rsidRPr="00F63291">
        <w:rPr>
          <w:rFonts w:ascii="Times New Roman" w:hAnsi="Times New Roman" w:cs="Times New Roman"/>
          <w:b/>
          <w:sz w:val="24"/>
          <w:szCs w:val="24"/>
        </w:rPr>
        <w:t>Accountants</w:t>
      </w:r>
      <w:r w:rsidR="00C74AB4" w:rsidRPr="00F6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F3E" w:rsidRPr="00F63291">
        <w:rPr>
          <w:rFonts w:ascii="Times New Roman" w:hAnsi="Times New Roman" w:cs="Times New Roman"/>
          <w:b/>
          <w:sz w:val="24"/>
          <w:szCs w:val="24"/>
        </w:rPr>
        <w:t>(</w:t>
      </w:r>
      <w:r w:rsidR="0029293D" w:rsidRPr="00F63291">
        <w:rPr>
          <w:rFonts w:ascii="Times New Roman" w:hAnsi="Times New Roman" w:cs="Times New Roman"/>
          <w:b/>
          <w:sz w:val="24"/>
          <w:szCs w:val="24"/>
        </w:rPr>
        <w:t>AGA</w:t>
      </w:r>
      <w:r w:rsidR="00392F3E" w:rsidRPr="00F63291">
        <w:rPr>
          <w:rFonts w:ascii="Times New Roman" w:hAnsi="Times New Roman" w:cs="Times New Roman"/>
          <w:b/>
          <w:sz w:val="24"/>
          <w:szCs w:val="24"/>
        </w:rPr>
        <w:t>)</w:t>
      </w:r>
      <w:r w:rsidR="0029293D" w:rsidRPr="008B0B87">
        <w:rPr>
          <w:rFonts w:ascii="Times New Roman" w:hAnsi="Times New Roman" w:cs="Times New Roman"/>
          <w:sz w:val="24"/>
          <w:szCs w:val="24"/>
        </w:rPr>
        <w:t xml:space="preserve"> is </w:t>
      </w:r>
      <w:r w:rsidR="00957CF4">
        <w:rPr>
          <w:rFonts w:ascii="Times New Roman" w:hAnsi="Times New Roman" w:cs="Times New Roman"/>
          <w:sz w:val="24"/>
          <w:szCs w:val="24"/>
        </w:rPr>
        <w:t>a non-profit</w:t>
      </w:r>
      <w:r w:rsidR="0029293D" w:rsidRPr="008B0B87">
        <w:rPr>
          <w:rFonts w:ascii="Times New Roman" w:hAnsi="Times New Roman" w:cs="Times New Roman"/>
          <w:sz w:val="24"/>
          <w:szCs w:val="24"/>
        </w:rPr>
        <w:t xml:space="preserve"> organization for financial professional</w:t>
      </w:r>
      <w:r w:rsidR="003D6426" w:rsidRPr="008B0B87">
        <w:rPr>
          <w:rFonts w:ascii="Times New Roman" w:hAnsi="Times New Roman" w:cs="Times New Roman"/>
          <w:sz w:val="24"/>
          <w:szCs w:val="24"/>
        </w:rPr>
        <w:t>s</w:t>
      </w:r>
      <w:r w:rsidR="0029293D" w:rsidRPr="008B0B87">
        <w:rPr>
          <w:rFonts w:ascii="Times New Roman" w:hAnsi="Times New Roman" w:cs="Times New Roman"/>
          <w:sz w:val="24"/>
          <w:szCs w:val="24"/>
        </w:rPr>
        <w:t xml:space="preserve"> in government</w:t>
      </w:r>
      <w:r w:rsidR="00774E72" w:rsidRPr="008B0B87">
        <w:rPr>
          <w:rFonts w:ascii="Times New Roman" w:hAnsi="Times New Roman" w:cs="Times New Roman"/>
          <w:sz w:val="24"/>
          <w:szCs w:val="24"/>
        </w:rPr>
        <w:t xml:space="preserve">. </w:t>
      </w:r>
      <w:r w:rsidR="00957CF4">
        <w:rPr>
          <w:rFonts w:ascii="Times New Roman" w:hAnsi="Times New Roman" w:cs="Times New Roman"/>
          <w:sz w:val="24"/>
          <w:szCs w:val="24"/>
        </w:rPr>
        <w:t xml:space="preserve"> </w:t>
      </w:r>
      <w:r w:rsidR="00671FC0" w:rsidRPr="008B0B87">
        <w:rPr>
          <w:rFonts w:ascii="Times New Roman" w:hAnsi="Times New Roman" w:cs="Times New Roman"/>
          <w:sz w:val="24"/>
          <w:szCs w:val="24"/>
        </w:rPr>
        <w:t>AGA extend</w:t>
      </w:r>
      <w:r w:rsidR="00392F3E">
        <w:rPr>
          <w:rFonts w:ascii="Times New Roman" w:hAnsi="Times New Roman" w:cs="Times New Roman"/>
          <w:sz w:val="24"/>
          <w:szCs w:val="24"/>
        </w:rPr>
        <w:t xml:space="preserve">s membership opportunity to </w:t>
      </w:r>
      <w:r w:rsidR="00671FC0" w:rsidRPr="008B0B87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1FC0" w:rsidRPr="008B0B87">
        <w:rPr>
          <w:rFonts w:ascii="Times New Roman" w:hAnsi="Times New Roman" w:cs="Times New Roman"/>
          <w:sz w:val="24"/>
          <w:szCs w:val="24"/>
        </w:rPr>
        <w:t>private sector</w:t>
      </w:r>
      <w:r>
        <w:rPr>
          <w:rFonts w:ascii="Times New Roman" w:hAnsi="Times New Roman" w:cs="Times New Roman"/>
          <w:sz w:val="24"/>
          <w:szCs w:val="24"/>
        </w:rPr>
        <w:t>, and academic</w:t>
      </w:r>
      <w:r w:rsidR="00671FC0" w:rsidRPr="008B0B87">
        <w:rPr>
          <w:rFonts w:ascii="Times New Roman" w:hAnsi="Times New Roman" w:cs="Times New Roman"/>
          <w:sz w:val="24"/>
          <w:szCs w:val="24"/>
        </w:rPr>
        <w:t xml:space="preserve"> professionals</w:t>
      </w:r>
      <w:r w:rsidR="00134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4D77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the government</w:t>
      </w:r>
      <w:r w:rsidR="00134D77">
        <w:rPr>
          <w:rFonts w:ascii="Times New Roman" w:hAnsi="Times New Roman" w:cs="Times New Roman"/>
          <w:sz w:val="24"/>
          <w:szCs w:val="24"/>
        </w:rPr>
        <w:t xml:space="preserve"> financial management</w:t>
      </w:r>
      <w:r>
        <w:rPr>
          <w:rFonts w:ascii="Times New Roman" w:hAnsi="Times New Roman" w:cs="Times New Roman"/>
          <w:sz w:val="24"/>
          <w:szCs w:val="24"/>
        </w:rPr>
        <w:t xml:space="preserve"> community</w:t>
      </w:r>
      <w:r w:rsidR="00671FC0" w:rsidRPr="008B0B87">
        <w:rPr>
          <w:rFonts w:ascii="Times New Roman" w:hAnsi="Times New Roman" w:cs="Times New Roman"/>
          <w:sz w:val="24"/>
          <w:szCs w:val="24"/>
        </w:rPr>
        <w:t>.</w:t>
      </w:r>
      <w:r w:rsidR="00134D77">
        <w:rPr>
          <w:rFonts w:ascii="Times New Roman" w:hAnsi="Times New Roman" w:cs="Times New Roman"/>
          <w:sz w:val="24"/>
          <w:szCs w:val="24"/>
        </w:rPr>
        <w:t xml:space="preserve">  </w:t>
      </w:r>
      <w:r w:rsidR="00392F3E">
        <w:rPr>
          <w:rFonts w:ascii="Times New Roman" w:hAnsi="Times New Roman" w:cs="Times New Roman"/>
          <w:sz w:val="24"/>
          <w:szCs w:val="24"/>
        </w:rPr>
        <w:t>The majority of</w:t>
      </w:r>
      <w:r w:rsidR="00134D77">
        <w:rPr>
          <w:rFonts w:ascii="Times New Roman" w:hAnsi="Times New Roman" w:cs="Times New Roman"/>
          <w:sz w:val="24"/>
          <w:szCs w:val="24"/>
        </w:rPr>
        <w:t xml:space="preserve"> members of the </w:t>
      </w:r>
      <w:r w:rsidR="00E2656E">
        <w:rPr>
          <w:rFonts w:ascii="Times New Roman" w:hAnsi="Times New Roman" w:cs="Times New Roman"/>
          <w:sz w:val="24"/>
          <w:szCs w:val="24"/>
        </w:rPr>
        <w:t xml:space="preserve">approximately 100 </w:t>
      </w:r>
      <w:r w:rsidR="00431B1C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134D77" w:rsidRPr="00392F3E">
        <w:rPr>
          <w:rFonts w:ascii="Times New Roman" w:hAnsi="Times New Roman" w:cs="Times New Roman"/>
          <w:b/>
          <w:sz w:val="24"/>
          <w:szCs w:val="24"/>
        </w:rPr>
        <w:t>Greater Columbus Chapter</w:t>
      </w:r>
      <w:r w:rsidR="00134D77">
        <w:rPr>
          <w:rFonts w:ascii="Times New Roman" w:hAnsi="Times New Roman" w:cs="Times New Roman"/>
          <w:sz w:val="24"/>
          <w:szCs w:val="24"/>
        </w:rPr>
        <w:t xml:space="preserve"> </w:t>
      </w:r>
      <w:r w:rsidR="00392F3E">
        <w:rPr>
          <w:rFonts w:ascii="Times New Roman" w:hAnsi="Times New Roman" w:cs="Times New Roman"/>
          <w:sz w:val="24"/>
          <w:szCs w:val="24"/>
        </w:rPr>
        <w:t>(established 2004)</w:t>
      </w:r>
      <w:r w:rsidR="00E2656E">
        <w:rPr>
          <w:rFonts w:ascii="Times New Roman" w:hAnsi="Times New Roman" w:cs="Times New Roman"/>
          <w:sz w:val="24"/>
          <w:szCs w:val="24"/>
        </w:rPr>
        <w:t xml:space="preserve"> </w:t>
      </w:r>
      <w:r w:rsidR="00134D77">
        <w:rPr>
          <w:rFonts w:ascii="Times New Roman" w:hAnsi="Times New Roman" w:cs="Times New Roman"/>
          <w:sz w:val="24"/>
          <w:szCs w:val="24"/>
        </w:rPr>
        <w:t>are federal employees and work for Defense Finance &amp; Accounting Service (DFAS)</w:t>
      </w:r>
      <w:r w:rsidR="00392F3E">
        <w:rPr>
          <w:rFonts w:ascii="Times New Roman" w:hAnsi="Times New Roman" w:cs="Times New Roman"/>
          <w:sz w:val="24"/>
          <w:szCs w:val="24"/>
        </w:rPr>
        <w:t>, but there are non-DFAS members as well</w:t>
      </w:r>
      <w:r w:rsidR="00134D77">
        <w:rPr>
          <w:rFonts w:ascii="Times New Roman" w:hAnsi="Times New Roman" w:cs="Times New Roman"/>
          <w:sz w:val="24"/>
          <w:szCs w:val="24"/>
        </w:rPr>
        <w:t>.  Membership consists of accountants, accounting technicians, auditors, systems p</w:t>
      </w:r>
      <w:r w:rsidR="00392F3E">
        <w:rPr>
          <w:rFonts w:ascii="Times New Roman" w:hAnsi="Times New Roman" w:cs="Times New Roman"/>
          <w:sz w:val="24"/>
          <w:szCs w:val="24"/>
        </w:rPr>
        <w:t>ersonnel, project managers, and more.</w:t>
      </w:r>
      <w:r w:rsidR="00957CF4">
        <w:rPr>
          <w:rFonts w:ascii="Times New Roman" w:hAnsi="Times New Roman" w:cs="Times New Roman"/>
          <w:sz w:val="24"/>
          <w:szCs w:val="24"/>
        </w:rPr>
        <w:t xml:space="preserve">  Our mission is to</w:t>
      </w:r>
      <w:r w:rsidR="00957CF4" w:rsidRPr="00957CF4">
        <w:rPr>
          <w:rFonts w:ascii="Times New Roman" w:hAnsi="Times New Roman" w:cs="Times New Roman"/>
          <w:sz w:val="24"/>
          <w:szCs w:val="24"/>
        </w:rPr>
        <w:t xml:space="preserve"> </w:t>
      </w:r>
      <w:r w:rsidR="00957CF4" w:rsidRPr="008B0B87">
        <w:rPr>
          <w:rFonts w:ascii="Times New Roman" w:hAnsi="Times New Roman" w:cs="Times New Roman"/>
          <w:sz w:val="24"/>
          <w:szCs w:val="24"/>
        </w:rPr>
        <w:t>foster learning, certification, leadership</w:t>
      </w:r>
      <w:r w:rsidR="00E2656E">
        <w:rPr>
          <w:rFonts w:ascii="Times New Roman" w:hAnsi="Times New Roman" w:cs="Times New Roman"/>
          <w:sz w:val="24"/>
          <w:szCs w:val="24"/>
        </w:rPr>
        <w:t>,</w:t>
      </w:r>
      <w:r w:rsidR="00957CF4" w:rsidRPr="008B0B87">
        <w:rPr>
          <w:rFonts w:ascii="Times New Roman" w:hAnsi="Times New Roman" w:cs="Times New Roman"/>
          <w:sz w:val="24"/>
          <w:szCs w:val="24"/>
        </w:rPr>
        <w:t xml:space="preserve"> and collaboration for professionals and stakeholders committed to advancing government accountability</w:t>
      </w:r>
      <w:r w:rsidR="00957CF4">
        <w:rPr>
          <w:rFonts w:ascii="Times New Roman" w:hAnsi="Times New Roman" w:cs="Times New Roman"/>
          <w:sz w:val="24"/>
          <w:szCs w:val="24"/>
        </w:rPr>
        <w:t>.</w:t>
      </w:r>
    </w:p>
    <w:p w:rsidR="00246AB5" w:rsidRPr="008B0B87" w:rsidRDefault="00246AB5" w:rsidP="004B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291" w:rsidRDefault="00392F3E" w:rsidP="004B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chapter </w:t>
      </w:r>
      <w:r w:rsidR="00957CF4">
        <w:rPr>
          <w:rFonts w:ascii="Times New Roman" w:hAnsi="Times New Roman" w:cs="Times New Roman"/>
          <w:sz w:val="24"/>
          <w:szCs w:val="24"/>
        </w:rPr>
        <w:t xml:space="preserve">primarily </w:t>
      </w:r>
      <w:r>
        <w:rPr>
          <w:rFonts w:ascii="Times New Roman" w:hAnsi="Times New Roman" w:cs="Times New Roman"/>
          <w:sz w:val="24"/>
          <w:szCs w:val="24"/>
        </w:rPr>
        <w:t xml:space="preserve">offers </w:t>
      </w:r>
      <w:r w:rsidRPr="00AC0698">
        <w:rPr>
          <w:rFonts w:ascii="Times New Roman" w:hAnsi="Times New Roman" w:cs="Times New Roman"/>
          <w:b/>
          <w:sz w:val="24"/>
          <w:szCs w:val="24"/>
        </w:rPr>
        <w:t>educational, networking, and community service events</w:t>
      </w:r>
      <w:r>
        <w:rPr>
          <w:rFonts w:ascii="Times New Roman" w:hAnsi="Times New Roman" w:cs="Times New Roman"/>
          <w:sz w:val="24"/>
          <w:szCs w:val="24"/>
        </w:rPr>
        <w:t xml:space="preserve">.  Educational events </w:t>
      </w:r>
      <w:r w:rsidR="003E11FD">
        <w:rPr>
          <w:rFonts w:ascii="Times New Roman" w:hAnsi="Times New Roman" w:cs="Times New Roman"/>
          <w:sz w:val="24"/>
          <w:szCs w:val="24"/>
        </w:rPr>
        <w:t>include</w:t>
      </w:r>
      <w:r w:rsidR="00957CF4">
        <w:rPr>
          <w:rFonts w:ascii="Times New Roman" w:hAnsi="Times New Roman" w:cs="Times New Roman"/>
          <w:sz w:val="24"/>
          <w:szCs w:val="24"/>
        </w:rPr>
        <w:t xml:space="preserve"> luncheons or webinars, are </w:t>
      </w:r>
      <w:r>
        <w:rPr>
          <w:rFonts w:ascii="Times New Roman" w:hAnsi="Times New Roman" w:cs="Times New Roman"/>
          <w:sz w:val="24"/>
          <w:szCs w:val="24"/>
        </w:rPr>
        <w:t>held most mont</w:t>
      </w:r>
      <w:r w:rsidR="00957CF4">
        <w:rPr>
          <w:rFonts w:ascii="Times New Roman" w:hAnsi="Times New Roman" w:cs="Times New Roman"/>
          <w:sz w:val="24"/>
          <w:szCs w:val="24"/>
        </w:rPr>
        <w:t xml:space="preserve">hs at DFAS Columbus Building 21, and typically offer CPE.  The chapter hosts two </w:t>
      </w:r>
      <w:r w:rsidR="003E11FD">
        <w:rPr>
          <w:rFonts w:ascii="Times New Roman" w:hAnsi="Times New Roman" w:cs="Times New Roman"/>
          <w:sz w:val="24"/>
          <w:szCs w:val="24"/>
        </w:rPr>
        <w:t xml:space="preserve">yearly </w:t>
      </w:r>
      <w:r w:rsidR="00957CF4">
        <w:rPr>
          <w:rFonts w:ascii="Times New Roman" w:hAnsi="Times New Roman" w:cs="Times New Roman"/>
          <w:sz w:val="24"/>
          <w:szCs w:val="24"/>
        </w:rPr>
        <w:t>professional development training events, averaging around 100 attendees</w:t>
      </w:r>
      <w:r w:rsidR="00AC0698">
        <w:rPr>
          <w:rFonts w:ascii="Times New Roman" w:hAnsi="Times New Roman" w:cs="Times New Roman"/>
          <w:sz w:val="24"/>
          <w:szCs w:val="24"/>
        </w:rPr>
        <w:t>, as well as a</w:t>
      </w:r>
      <w:r w:rsidR="003E11FD">
        <w:rPr>
          <w:rFonts w:ascii="Times New Roman" w:hAnsi="Times New Roman" w:cs="Times New Roman"/>
          <w:sz w:val="24"/>
          <w:szCs w:val="24"/>
        </w:rPr>
        <w:t xml:space="preserve">n annual </w:t>
      </w:r>
      <w:r w:rsidR="00AC0698">
        <w:rPr>
          <w:rFonts w:ascii="Times New Roman" w:hAnsi="Times New Roman" w:cs="Times New Roman"/>
          <w:sz w:val="24"/>
          <w:szCs w:val="24"/>
        </w:rPr>
        <w:t>Professional Fair, often partnering with the local Buckeye Chapter of ASMC (American Society of Military Comptrollers)</w:t>
      </w:r>
      <w:r w:rsidR="00957CF4">
        <w:rPr>
          <w:rFonts w:ascii="Times New Roman" w:hAnsi="Times New Roman" w:cs="Times New Roman"/>
          <w:sz w:val="24"/>
          <w:szCs w:val="24"/>
        </w:rPr>
        <w:t xml:space="preserve">.  The chapter supports members </w:t>
      </w:r>
      <w:r w:rsidR="003E11FD">
        <w:rPr>
          <w:rFonts w:ascii="Times New Roman" w:hAnsi="Times New Roman" w:cs="Times New Roman"/>
          <w:sz w:val="24"/>
          <w:szCs w:val="24"/>
        </w:rPr>
        <w:t>obtaining</w:t>
      </w:r>
      <w:r w:rsidR="00957CF4">
        <w:rPr>
          <w:rFonts w:ascii="Times New Roman" w:hAnsi="Times New Roman" w:cs="Times New Roman"/>
          <w:sz w:val="24"/>
          <w:szCs w:val="24"/>
        </w:rPr>
        <w:t xml:space="preserve"> the </w:t>
      </w:r>
      <w:r w:rsidR="00957CF4" w:rsidRPr="00AC0698">
        <w:rPr>
          <w:rFonts w:ascii="Times New Roman" w:hAnsi="Times New Roman" w:cs="Times New Roman"/>
          <w:b/>
          <w:sz w:val="24"/>
          <w:szCs w:val="24"/>
        </w:rPr>
        <w:t>Certified Government Financial Management (CGFM) designation</w:t>
      </w:r>
      <w:r w:rsidR="003E11FD">
        <w:rPr>
          <w:rFonts w:ascii="Times New Roman" w:hAnsi="Times New Roman" w:cs="Times New Roman"/>
          <w:sz w:val="24"/>
          <w:szCs w:val="24"/>
        </w:rPr>
        <w:t>, which is the premiere certification for financial managers across government</w:t>
      </w:r>
      <w:r w:rsidR="00957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0698">
        <w:rPr>
          <w:rFonts w:ascii="Times New Roman" w:hAnsi="Times New Roman" w:cs="Times New Roman"/>
          <w:sz w:val="24"/>
          <w:szCs w:val="24"/>
        </w:rPr>
        <w:t xml:space="preserve">Our </w:t>
      </w:r>
      <w:r w:rsidR="00957CF4">
        <w:rPr>
          <w:rFonts w:ascii="Times New Roman" w:hAnsi="Times New Roman" w:cs="Times New Roman"/>
          <w:sz w:val="24"/>
          <w:szCs w:val="24"/>
        </w:rPr>
        <w:t xml:space="preserve">members </w:t>
      </w:r>
      <w:r w:rsidR="00AC0698">
        <w:rPr>
          <w:rFonts w:ascii="Times New Roman" w:hAnsi="Times New Roman" w:cs="Times New Roman"/>
          <w:sz w:val="24"/>
          <w:szCs w:val="24"/>
        </w:rPr>
        <w:t xml:space="preserve">are </w:t>
      </w:r>
      <w:r w:rsidR="00957CF4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AC0698">
        <w:rPr>
          <w:rFonts w:ascii="Times New Roman" w:hAnsi="Times New Roman" w:cs="Times New Roman"/>
          <w:sz w:val="24"/>
          <w:szCs w:val="24"/>
        </w:rPr>
        <w:t>community serv</w:t>
      </w:r>
      <w:r w:rsidR="00E2656E">
        <w:rPr>
          <w:rFonts w:ascii="Times New Roman" w:hAnsi="Times New Roman" w:cs="Times New Roman"/>
          <w:sz w:val="24"/>
          <w:szCs w:val="24"/>
        </w:rPr>
        <w:t>ice events like Toys for Tots and</w:t>
      </w:r>
      <w:r w:rsidR="00AC0698">
        <w:rPr>
          <w:rFonts w:ascii="Times New Roman" w:hAnsi="Times New Roman" w:cs="Times New Roman"/>
          <w:sz w:val="24"/>
          <w:szCs w:val="24"/>
        </w:rPr>
        <w:t xml:space="preserve"> Volunteer Income Tax Assistance (VITA), and the chapter </w:t>
      </w:r>
      <w:r w:rsidR="00431B1C">
        <w:rPr>
          <w:rFonts w:ascii="Times New Roman" w:hAnsi="Times New Roman" w:cs="Times New Roman"/>
          <w:sz w:val="24"/>
          <w:szCs w:val="24"/>
        </w:rPr>
        <w:t xml:space="preserve">annually </w:t>
      </w:r>
      <w:r w:rsidR="00AC0698">
        <w:rPr>
          <w:rFonts w:ascii="Times New Roman" w:hAnsi="Times New Roman" w:cs="Times New Roman"/>
          <w:sz w:val="24"/>
          <w:szCs w:val="24"/>
        </w:rPr>
        <w:t>provides</w:t>
      </w:r>
      <w:r w:rsidR="00431B1C">
        <w:rPr>
          <w:rFonts w:ascii="Times New Roman" w:hAnsi="Times New Roman" w:cs="Times New Roman"/>
          <w:sz w:val="24"/>
          <w:szCs w:val="24"/>
        </w:rPr>
        <w:t xml:space="preserve"> two</w:t>
      </w:r>
      <w:r w:rsidR="00AC0698">
        <w:rPr>
          <w:rFonts w:ascii="Times New Roman" w:hAnsi="Times New Roman" w:cs="Times New Roman"/>
          <w:sz w:val="24"/>
          <w:szCs w:val="24"/>
        </w:rPr>
        <w:t xml:space="preserve"> scholarships for deserving students pursuing a financial management degree.  Lastly, the chapter holds several social events throughout the year providing the opportunity for members to connect.</w:t>
      </w:r>
    </w:p>
    <w:p w:rsidR="00392F3E" w:rsidRPr="00392F3E" w:rsidRDefault="00F63291" w:rsidP="004B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46466" w:rsidRDefault="00246466" w:rsidP="004B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46466" w:rsidTr="00F63291">
        <w:trPr>
          <w:jc w:val="center"/>
        </w:trPr>
        <w:tc>
          <w:tcPr>
            <w:tcW w:w="9350" w:type="dxa"/>
            <w:gridSpan w:val="2"/>
            <w:shd w:val="clear" w:color="auto" w:fill="002060"/>
          </w:tcPr>
          <w:p w:rsidR="00246466" w:rsidRDefault="00F63291" w:rsidP="007B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Greater Columbus AGA </w:t>
            </w:r>
            <w:r w:rsidR="0024646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6466" w:rsidRPr="008B0B87">
              <w:rPr>
                <w:rFonts w:ascii="Times New Roman" w:hAnsi="Times New Roman" w:cs="Times New Roman"/>
                <w:b/>
                <w:sz w:val="24"/>
                <w:szCs w:val="24"/>
              </w:rPr>
              <w:t>embership</w:t>
            </w:r>
            <w:r w:rsidR="0024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Statistics –</w:t>
            </w:r>
            <w:r w:rsidR="00692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 of</w:t>
            </w:r>
            <w:bookmarkStart w:id="0" w:name="_GoBack"/>
            <w:bookmarkEnd w:id="0"/>
            <w:r w:rsidR="0024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 2017</w:t>
            </w:r>
          </w:p>
        </w:tc>
      </w:tr>
      <w:tr w:rsidR="007B523D" w:rsidTr="00F63291">
        <w:trPr>
          <w:trHeight w:val="242"/>
          <w:jc w:val="center"/>
        </w:trPr>
        <w:tc>
          <w:tcPr>
            <w:tcW w:w="4675" w:type="dxa"/>
            <w:shd w:val="clear" w:color="auto" w:fill="BAB574"/>
          </w:tcPr>
          <w:p w:rsidR="007B523D" w:rsidRDefault="007B523D" w:rsidP="00F6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Area</w:t>
            </w:r>
          </w:p>
        </w:tc>
        <w:tc>
          <w:tcPr>
            <w:tcW w:w="4675" w:type="dxa"/>
            <w:shd w:val="clear" w:color="auto" w:fill="BAB574"/>
          </w:tcPr>
          <w:p w:rsidR="007B523D" w:rsidRDefault="007B523D" w:rsidP="00F6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</w:tr>
      <w:tr w:rsidR="00246466" w:rsidTr="00F63291">
        <w:trPr>
          <w:jc w:val="center"/>
        </w:trPr>
        <w:tc>
          <w:tcPr>
            <w:tcW w:w="4675" w:type="dxa"/>
          </w:tcPr>
          <w:p w:rsidR="00246466" w:rsidRDefault="00246466" w:rsidP="0024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Accounting 56%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Auditing 12%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Management 6%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 Systems 3%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Management/Administration 3%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Budgeting 2%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Consulting 2%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16%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46466" w:rsidRDefault="00246466" w:rsidP="0024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 Government 74%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Government 11%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 Government 6%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County Government 1%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Private Sector 5%</w:t>
            </w:r>
          </w:p>
          <w:p w:rsidR="00246466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Sector – 2%</w:t>
            </w:r>
          </w:p>
          <w:p w:rsidR="00246466" w:rsidRPr="008B0B87" w:rsidRDefault="00246466" w:rsidP="0024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Retired – 1%</w:t>
            </w:r>
          </w:p>
          <w:p w:rsidR="00246466" w:rsidRDefault="00246466" w:rsidP="0043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91" w:rsidTr="00F63291">
        <w:trPr>
          <w:trHeight w:val="278"/>
          <w:jc w:val="center"/>
        </w:trPr>
        <w:tc>
          <w:tcPr>
            <w:tcW w:w="9350" w:type="dxa"/>
            <w:gridSpan w:val="2"/>
            <w:shd w:val="clear" w:color="auto" w:fill="BAB574"/>
          </w:tcPr>
          <w:p w:rsidR="00F63291" w:rsidRDefault="00F63291" w:rsidP="00F6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Membership Growth</w:t>
            </w:r>
          </w:p>
        </w:tc>
      </w:tr>
      <w:tr w:rsidR="007B523D" w:rsidTr="00F63291">
        <w:trPr>
          <w:jc w:val="center"/>
        </w:trPr>
        <w:tc>
          <w:tcPr>
            <w:tcW w:w="9350" w:type="dxa"/>
            <w:gridSpan w:val="2"/>
          </w:tcPr>
          <w:p w:rsidR="007B523D" w:rsidRDefault="007B523D" w:rsidP="0024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23D" w:rsidRDefault="007B523D" w:rsidP="007B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2015 – 79 Members</w:t>
            </w:r>
          </w:p>
          <w:p w:rsidR="007B523D" w:rsidRDefault="007B523D" w:rsidP="007B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2016 – 89 Members</w:t>
            </w:r>
          </w:p>
          <w:p w:rsidR="00F63291" w:rsidRDefault="007B523D" w:rsidP="00F6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2017</w:t>
            </w:r>
            <w:r w:rsidR="00F6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Members</w:t>
            </w:r>
            <w:r w:rsidR="00F632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246466" w:rsidRDefault="00246466" w:rsidP="00F63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6466" w:rsidSect="00F63291">
      <w:head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42" w:rsidRDefault="00812942" w:rsidP="00434ED2">
      <w:pPr>
        <w:spacing w:after="0" w:line="240" w:lineRule="auto"/>
      </w:pPr>
      <w:r>
        <w:separator/>
      </w:r>
    </w:p>
  </w:endnote>
  <w:endnote w:type="continuationSeparator" w:id="0">
    <w:p w:rsidR="00812942" w:rsidRDefault="00812942" w:rsidP="0043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42" w:rsidRDefault="00812942" w:rsidP="00434ED2">
      <w:pPr>
        <w:spacing w:after="0" w:line="240" w:lineRule="auto"/>
      </w:pPr>
      <w:r>
        <w:separator/>
      </w:r>
    </w:p>
  </w:footnote>
  <w:footnote w:type="continuationSeparator" w:id="0">
    <w:p w:rsidR="00812942" w:rsidRDefault="00812942" w:rsidP="0043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2" w:rsidRPr="003E11FD" w:rsidRDefault="00434ED2" w:rsidP="003E11FD">
    <w:pPr>
      <w:pStyle w:val="Header"/>
    </w:pPr>
    <w:r w:rsidRPr="003E11F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EB7"/>
    <w:multiLevelType w:val="hybridMultilevel"/>
    <w:tmpl w:val="ED3E1908"/>
    <w:lvl w:ilvl="0" w:tplc="B7B893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21CAC">
      <w:start w:val="15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B4F7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A2D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E6D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E5C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8272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258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3274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7771BDD"/>
    <w:multiLevelType w:val="hybridMultilevel"/>
    <w:tmpl w:val="CA78F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498"/>
    <w:multiLevelType w:val="hybridMultilevel"/>
    <w:tmpl w:val="CA78F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F341C"/>
    <w:multiLevelType w:val="hybridMultilevel"/>
    <w:tmpl w:val="CB0E6248"/>
    <w:lvl w:ilvl="0" w:tplc="E8689976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229080">
      <w:start w:val="158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CE0653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BE60C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D34C388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A92A458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772EF7E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C60E0E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0988B2E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49AA4769"/>
    <w:multiLevelType w:val="hybridMultilevel"/>
    <w:tmpl w:val="ABF66D0C"/>
    <w:lvl w:ilvl="0" w:tplc="F3B058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E4F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6860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04EA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62CD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9CE8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C2CD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CBB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0E97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CD36D75"/>
    <w:multiLevelType w:val="hybridMultilevel"/>
    <w:tmpl w:val="F0929F34"/>
    <w:lvl w:ilvl="0" w:tplc="158AC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B234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82E2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EC8F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4F6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824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C3C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0A9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5485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F0257BA"/>
    <w:multiLevelType w:val="hybridMultilevel"/>
    <w:tmpl w:val="93A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671DF"/>
    <w:multiLevelType w:val="hybridMultilevel"/>
    <w:tmpl w:val="97B68F22"/>
    <w:lvl w:ilvl="0" w:tplc="968E5B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E722E">
      <w:start w:val="15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8B0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A61B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88BC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CDE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541E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46C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053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BF31D1B"/>
    <w:multiLevelType w:val="hybridMultilevel"/>
    <w:tmpl w:val="8A8CC0E4"/>
    <w:lvl w:ilvl="0" w:tplc="7F901D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44E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464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73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FF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E63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349B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C8C2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AE9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B262DEC"/>
    <w:multiLevelType w:val="hybridMultilevel"/>
    <w:tmpl w:val="DA0EE920"/>
    <w:lvl w:ilvl="0" w:tplc="F4BA03D6">
      <w:start w:val="1"/>
      <w:numFmt w:val="lowerLetter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FC"/>
    <w:rsid w:val="0003639C"/>
    <w:rsid w:val="00050A27"/>
    <w:rsid w:val="00085DDB"/>
    <w:rsid w:val="00086B14"/>
    <w:rsid w:val="000A1BF6"/>
    <w:rsid w:val="000E2A48"/>
    <w:rsid w:val="000E6BBD"/>
    <w:rsid w:val="00100F3E"/>
    <w:rsid w:val="00134D77"/>
    <w:rsid w:val="0016680E"/>
    <w:rsid w:val="00195867"/>
    <w:rsid w:val="001C605E"/>
    <w:rsid w:val="001E59DD"/>
    <w:rsid w:val="001F5F81"/>
    <w:rsid w:val="0020164C"/>
    <w:rsid w:val="00211066"/>
    <w:rsid w:val="00243D7B"/>
    <w:rsid w:val="00246466"/>
    <w:rsid w:val="00246AB5"/>
    <w:rsid w:val="002669D7"/>
    <w:rsid w:val="0029293D"/>
    <w:rsid w:val="002969DC"/>
    <w:rsid w:val="002B49E1"/>
    <w:rsid w:val="002C6DA6"/>
    <w:rsid w:val="002E6372"/>
    <w:rsid w:val="0030023E"/>
    <w:rsid w:val="00310BD4"/>
    <w:rsid w:val="00392F3E"/>
    <w:rsid w:val="003B49F4"/>
    <w:rsid w:val="003C37B9"/>
    <w:rsid w:val="003D6426"/>
    <w:rsid w:val="003E11FD"/>
    <w:rsid w:val="003E30C0"/>
    <w:rsid w:val="003F1B35"/>
    <w:rsid w:val="0041174D"/>
    <w:rsid w:val="00431B1C"/>
    <w:rsid w:val="00434ED2"/>
    <w:rsid w:val="0045538E"/>
    <w:rsid w:val="004B40EF"/>
    <w:rsid w:val="004B7354"/>
    <w:rsid w:val="00525E95"/>
    <w:rsid w:val="00581EBA"/>
    <w:rsid w:val="005A2B63"/>
    <w:rsid w:val="005C03CB"/>
    <w:rsid w:val="005C6A31"/>
    <w:rsid w:val="005D4388"/>
    <w:rsid w:val="006477E3"/>
    <w:rsid w:val="006611BB"/>
    <w:rsid w:val="00671FC0"/>
    <w:rsid w:val="006922F0"/>
    <w:rsid w:val="006A0166"/>
    <w:rsid w:val="006B7C27"/>
    <w:rsid w:val="006F1E34"/>
    <w:rsid w:val="007070D2"/>
    <w:rsid w:val="0072307E"/>
    <w:rsid w:val="007301ED"/>
    <w:rsid w:val="007345A9"/>
    <w:rsid w:val="00751239"/>
    <w:rsid w:val="00774E72"/>
    <w:rsid w:val="00792E50"/>
    <w:rsid w:val="00795D35"/>
    <w:rsid w:val="007B41A5"/>
    <w:rsid w:val="007B523D"/>
    <w:rsid w:val="007C05F3"/>
    <w:rsid w:val="007C086C"/>
    <w:rsid w:val="007D67D8"/>
    <w:rsid w:val="007E026E"/>
    <w:rsid w:val="007E6BD1"/>
    <w:rsid w:val="007E6D77"/>
    <w:rsid w:val="00812942"/>
    <w:rsid w:val="0084773D"/>
    <w:rsid w:val="0088062C"/>
    <w:rsid w:val="0088559B"/>
    <w:rsid w:val="008B0B11"/>
    <w:rsid w:val="008B0B87"/>
    <w:rsid w:val="008B5CC2"/>
    <w:rsid w:val="00957CF4"/>
    <w:rsid w:val="00A01549"/>
    <w:rsid w:val="00A25BCE"/>
    <w:rsid w:val="00A36433"/>
    <w:rsid w:val="00AC0698"/>
    <w:rsid w:val="00AE5727"/>
    <w:rsid w:val="00B059FC"/>
    <w:rsid w:val="00B34A3B"/>
    <w:rsid w:val="00B56F25"/>
    <w:rsid w:val="00B5755D"/>
    <w:rsid w:val="00C3306B"/>
    <w:rsid w:val="00C414E5"/>
    <w:rsid w:val="00C74AB4"/>
    <w:rsid w:val="00C81963"/>
    <w:rsid w:val="00C84890"/>
    <w:rsid w:val="00C978EE"/>
    <w:rsid w:val="00CA4521"/>
    <w:rsid w:val="00CA76DF"/>
    <w:rsid w:val="00CB16F3"/>
    <w:rsid w:val="00CB7965"/>
    <w:rsid w:val="00CF3792"/>
    <w:rsid w:val="00D37BBC"/>
    <w:rsid w:val="00DC2BCF"/>
    <w:rsid w:val="00DC435C"/>
    <w:rsid w:val="00DD75BB"/>
    <w:rsid w:val="00E12211"/>
    <w:rsid w:val="00E2656E"/>
    <w:rsid w:val="00E67996"/>
    <w:rsid w:val="00E71F7F"/>
    <w:rsid w:val="00E93C4F"/>
    <w:rsid w:val="00ED610D"/>
    <w:rsid w:val="00EE4843"/>
    <w:rsid w:val="00F23B15"/>
    <w:rsid w:val="00F63291"/>
    <w:rsid w:val="00F70B73"/>
    <w:rsid w:val="00F93552"/>
    <w:rsid w:val="00F967FF"/>
    <w:rsid w:val="00FA6781"/>
    <w:rsid w:val="00FB1C03"/>
    <w:rsid w:val="00FC1D41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36FF-5865-45ED-91F4-0C5B2DBA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F3"/>
    <w:pPr>
      <w:spacing w:after="210" w:line="480" w:lineRule="atLeast"/>
      <w:outlineLvl w:val="0"/>
    </w:pPr>
    <w:rPr>
      <w:rFonts w:ascii="Times New Roman" w:eastAsia="Times New Roman" w:hAnsi="Times New Roman" w:cs="Times New Roman"/>
      <w:color w:val="1F275C"/>
      <w:kern w:val="36"/>
      <w:sz w:val="42"/>
      <w:szCs w:val="42"/>
    </w:rPr>
  </w:style>
  <w:style w:type="paragraph" w:styleId="Heading4">
    <w:name w:val="heading 4"/>
    <w:basedOn w:val="Normal"/>
    <w:link w:val="Heading4Char"/>
    <w:uiPriority w:val="9"/>
    <w:qFormat/>
    <w:rsid w:val="007C05F3"/>
    <w:pPr>
      <w:spacing w:before="75" w:after="75" w:line="240" w:lineRule="auto"/>
      <w:outlineLvl w:val="3"/>
    </w:pPr>
    <w:rPr>
      <w:rFonts w:ascii="Times New Roman" w:eastAsia="Times New Roman" w:hAnsi="Times New Roman" w:cs="Times New Roman"/>
      <w:color w:val="1F275C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D2"/>
  </w:style>
  <w:style w:type="paragraph" w:styleId="Footer">
    <w:name w:val="footer"/>
    <w:basedOn w:val="Normal"/>
    <w:link w:val="FooterChar"/>
    <w:uiPriority w:val="99"/>
    <w:unhideWhenUsed/>
    <w:rsid w:val="0043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D2"/>
  </w:style>
  <w:style w:type="paragraph" w:styleId="NormalWeb">
    <w:name w:val="Normal (Web)"/>
    <w:basedOn w:val="Normal"/>
    <w:uiPriority w:val="99"/>
    <w:semiHidden/>
    <w:unhideWhenUsed/>
    <w:rsid w:val="000E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21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05F3"/>
    <w:rPr>
      <w:rFonts w:ascii="Times New Roman" w:eastAsia="Times New Roman" w:hAnsi="Times New Roman" w:cs="Times New Roman"/>
      <w:color w:val="1F275C"/>
      <w:kern w:val="36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7C05F3"/>
    <w:rPr>
      <w:rFonts w:ascii="Times New Roman" w:eastAsia="Times New Roman" w:hAnsi="Times New Roman" w:cs="Times New Roman"/>
      <w:color w:val="1F275C"/>
      <w:sz w:val="27"/>
      <w:szCs w:val="27"/>
    </w:rPr>
  </w:style>
  <w:style w:type="table" w:styleId="TableGrid">
    <w:name w:val="Table Grid"/>
    <w:basedOn w:val="TableNormal"/>
    <w:uiPriority w:val="39"/>
    <w:rsid w:val="0024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41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56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68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D35C-869A-46D1-8111-1E84AC0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MATTHEW CIV DFAS</dc:creator>
  <cp:keywords/>
  <dc:description/>
  <cp:lastModifiedBy>WILLIAM_KAYS</cp:lastModifiedBy>
  <cp:revision>3</cp:revision>
  <dcterms:created xsi:type="dcterms:W3CDTF">2017-07-20T15:00:00Z</dcterms:created>
  <dcterms:modified xsi:type="dcterms:W3CDTF">2017-08-01T14:41:00Z</dcterms:modified>
</cp:coreProperties>
</file>