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6BDA" w14:textId="412CCE5F" w:rsidR="001277B2" w:rsidRDefault="00F91014">
      <w:r>
        <w:rPr>
          <w:noProof/>
        </w:rPr>
        <w:drawing>
          <wp:inline distT="0" distB="0" distL="0" distR="0" wp14:anchorId="4427F1CD" wp14:editId="4B742142">
            <wp:extent cx="1411836" cy="2194560"/>
            <wp:effectExtent l="0" t="0" r="0" b="0"/>
            <wp:docPr id="5" name="Picture 4">
              <a:extLst xmlns:a="http://schemas.openxmlformats.org/drawingml/2006/main">
                <a:ext uri="{FF2B5EF4-FFF2-40B4-BE49-F238E27FC236}">
                  <a16:creationId xmlns:a16="http://schemas.microsoft.com/office/drawing/2014/main" id="{00000000-0008-0000-01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100-000005000000}"/>
                        </a:ext>
                      </a:extLst>
                    </pic:cNvPr>
                    <pic:cNvPicPr>
                      <a:picLocks noChangeAspect="1"/>
                    </pic:cNvPicPr>
                  </pic:nvPicPr>
                  <pic:blipFill>
                    <a:blip r:embed="rId4"/>
                    <a:stretch>
                      <a:fillRect/>
                    </a:stretch>
                  </pic:blipFill>
                  <pic:spPr>
                    <a:xfrm>
                      <a:off x="0" y="0"/>
                      <a:ext cx="1411836" cy="2194560"/>
                    </a:xfrm>
                    <a:prstGeom prst="rect">
                      <a:avLst/>
                    </a:prstGeom>
                  </pic:spPr>
                </pic:pic>
              </a:graphicData>
            </a:graphic>
          </wp:inline>
        </w:drawing>
      </w:r>
    </w:p>
    <w:p w14:paraId="6EF5F3D7" w14:textId="6C987D6F" w:rsidR="00F91014" w:rsidRDefault="00F91014"/>
    <w:p w14:paraId="53EE8AF4" w14:textId="77777777" w:rsidR="00F91014" w:rsidRPr="00F91014" w:rsidRDefault="00F91014" w:rsidP="00F91014">
      <w:pPr>
        <w:spacing w:after="0" w:line="240" w:lineRule="auto"/>
        <w:rPr>
          <w:rFonts w:ascii="Times New Roman" w:eastAsia="Times New Roman" w:hAnsi="Times New Roman" w:cs="Times New Roman"/>
          <w:b/>
          <w:bCs/>
          <w:sz w:val="20"/>
          <w:szCs w:val="20"/>
        </w:rPr>
      </w:pPr>
      <w:r w:rsidRPr="00F91014">
        <w:rPr>
          <w:rFonts w:ascii="Times New Roman" w:eastAsia="Times New Roman" w:hAnsi="Times New Roman" w:cs="Times New Roman"/>
          <w:b/>
          <w:bCs/>
          <w:sz w:val="20"/>
          <w:szCs w:val="20"/>
        </w:rPr>
        <w:t>Danielle Garten, Trial Attorney, US DOJ</w:t>
      </w:r>
    </w:p>
    <w:p w14:paraId="3110EEC1" w14:textId="0155A210" w:rsidR="00F91014" w:rsidRDefault="00F91014"/>
    <w:p w14:paraId="0F1170B7" w14:textId="77777777" w:rsidR="00F91014" w:rsidRPr="00F91014" w:rsidRDefault="00F91014" w:rsidP="00F91014">
      <w:pPr>
        <w:spacing w:after="0" w:line="240" w:lineRule="auto"/>
        <w:rPr>
          <w:rFonts w:ascii="Times New Roman" w:eastAsia="Times New Roman" w:hAnsi="Times New Roman" w:cs="Times New Roman"/>
          <w:sz w:val="20"/>
          <w:szCs w:val="20"/>
        </w:rPr>
      </w:pPr>
      <w:r w:rsidRPr="00F91014">
        <w:rPr>
          <w:rFonts w:ascii="Times New Roman" w:eastAsia="Times New Roman" w:hAnsi="Times New Roman" w:cs="Times New Roman"/>
          <w:sz w:val="20"/>
          <w:szCs w:val="20"/>
        </w:rPr>
        <w:t>Danielle Garten</w:t>
      </w:r>
      <w:r w:rsidRPr="00F91014">
        <w:rPr>
          <w:rFonts w:ascii="Times New Roman" w:eastAsia="Times New Roman" w:hAnsi="Times New Roman" w:cs="Times New Roman"/>
          <w:b/>
          <w:bCs/>
          <w:sz w:val="20"/>
          <w:szCs w:val="20"/>
        </w:rPr>
        <w:t xml:space="preserve"> </w:t>
      </w:r>
      <w:r w:rsidRPr="00F91014">
        <w:rPr>
          <w:rFonts w:ascii="Times New Roman" w:eastAsia="Times New Roman" w:hAnsi="Times New Roman" w:cs="Times New Roman"/>
          <w:sz w:val="20"/>
          <w:szCs w:val="20"/>
        </w:rPr>
        <w:t>is a trial attorney in the Antitrust Division’s Washington Criminal I Section, where she investigates and prosecutes violations of federal laws affecting competition, such as price fixing and bid rigging.  Prior to joining the Division, she worked at an international law firm in Washington, D.C.  Throughout her career, she has handled complex mergers, civil litigation, and criminal antitrust matters.  Danielle has trained attorneys and agents handling government contracting issues on both criminal and civil antitrust topics.</w:t>
      </w:r>
    </w:p>
    <w:p w14:paraId="75D457DC" w14:textId="77777777" w:rsidR="00F91014" w:rsidRDefault="00F91014">
      <w:bookmarkStart w:id="0" w:name="_GoBack"/>
      <w:bookmarkEnd w:id="0"/>
    </w:p>
    <w:sectPr w:rsidR="00F91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14"/>
    <w:rsid w:val="001277B2"/>
    <w:rsid w:val="00F9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AC86"/>
  <w15:chartTrackingRefBased/>
  <w15:docId w15:val="{6CA173B0-3DC4-4240-958C-3EC4C8BE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33773">
      <w:bodyDiv w:val="1"/>
      <w:marLeft w:val="0"/>
      <w:marRight w:val="0"/>
      <w:marTop w:val="0"/>
      <w:marBottom w:val="0"/>
      <w:divBdr>
        <w:top w:val="none" w:sz="0" w:space="0" w:color="auto"/>
        <w:left w:val="none" w:sz="0" w:space="0" w:color="auto"/>
        <w:bottom w:val="none" w:sz="0" w:space="0" w:color="auto"/>
        <w:right w:val="none" w:sz="0" w:space="0" w:color="auto"/>
      </w:divBdr>
    </w:div>
    <w:div w:id="2035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2020-12-29T20:45:00Z</dcterms:created>
  <dcterms:modified xsi:type="dcterms:W3CDTF">2020-12-29T20:45:00Z</dcterms:modified>
</cp:coreProperties>
</file>