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il" w:color="FFFFFF" w:sz="0"/>
              <w:left w:val="nil" w:color="FFFFFF" w:sz="0"/>
              <w:bottom w:val="nil" w:color="FFFFFF" w:sz="0"/>
              <w:right w:val="nil" w:color="FFFFFF" w:sz="0"/>
            </w:tcBorders>
            <w:shd w:fill="1F4E79" w:val="clear"/>
            <w:tcMar>
              <w:top w:type="dxa" w:w="200"/>
              <w:left w:type="dxa" w:w="240"/>
              <w:bottom w:type="dxa" w:w="200"/>
              <w:right w:type="dxa" w:w="240"/>
            </w:tcMar>
          </w:tcPr>
          <w:p>
            <w:r>
              <w:rPr>
                <w:rFonts w:ascii="Arial" w:cs="Arial" w:eastAsia="Arial" w:hAnsi="Arial"/>
                <w:b/>
                <w:bCs/>
                <w:color w:val="FFFFFF"/>
                <w:sz w:val="44"/>
                <w:szCs w:val="44"/>
              </w:rPr>
              <w:t xml:space="preserve">AGA Chapter Treasurer Checklist</w:t>
            </w:r>
          </w:p>
          <w:p>
            <w:r>
              <w:rPr>
                <w:rFonts w:ascii="Arial" w:cs="Arial" w:eastAsia="Arial" w:hAnsi="Arial"/>
                <w:color w:val="C8D8E8"/>
                <w:sz w:val="18"/>
                <w:szCs w:val="18"/>
              </w:rPr>
              <w:t xml:space="preserve">2025-2026 Program Year  |  Source: AGA Chapter Treasurer's Handbook &amp; Chapter Leadership Handbook</w:t>
            </w:r>
          </w:p>
        </w:tc>
      </w:tr>
    </w:tbl>
    <w:p>
      <w:pPr>
        <w:spacing w:after="80" w:before="80"/>
      </w:pPr>
      <w:r>
        <w:t xml:space="preserve"/>
      </w:r>
    </w:p>
    <w:p>
      <w:pPr>
        <w:spacing w:after="160" w:before="40"/>
      </w:pPr>
      <w:r>
        <w:rPr>
          <w:rFonts w:ascii="Arial" w:cs="Arial" w:eastAsia="Arial" w:hAnsi="Arial"/>
          <w:i/>
          <w:iCs/>
          <w:color w:val="444444"/>
          <w:sz w:val="20"/>
          <w:szCs w:val="20"/>
        </w:rPr>
        <w:t xml:space="preserve">Instructions: Use this checklist to track treasurer responsibilities throughout the program year. Check each box as tasks are completed. All chapters should develop their own written procedures that meet unique operational needs.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2E75B6" w:val="clear"/>
            <w:tcMar>
              <w:top w:type="dxa" w:w="100"/>
              <w:left w:type="dxa" w:w="160"/>
              <w:bottom w:type="dxa" w:w="100"/>
              <w:right w:type="dxa" w:w="160"/>
            </w:tcMar>
          </w:tcPr>
          <w:p>
            <w:r>
              <w:rPr>
                <w:rFonts w:ascii="Arial" w:cs="Arial" w:eastAsia="Arial" w:hAnsi="Arial"/>
                <w:b/>
                <w:bCs/>
                <w:color w:val="FFFFFF"/>
                <w:sz w:val="24"/>
                <w:szCs w:val="24"/>
              </w:rPr>
              <w:t xml:space="preserve">MONTHLY TASKS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
        <w:gridCol w:w="4300"/>
        <w:gridCol w:w="2880"/>
        <w:gridCol w:w="1640"/>
      </w:tblGrid>
      <w:tr>
        <w:tc>
          <w:tcPr>
            <w:tcW w:type="dxa" w:w="5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
            </w:r>
          </w:p>
        </w:tc>
        <w:tc>
          <w:tcPr>
            <w:tcW w:type="dxa" w:w="4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Task</w:t>
            </w:r>
          </w:p>
        </w:tc>
        <w:tc>
          <w:tcPr>
            <w:tcW w:type="dxa" w:w="28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When to complete</w:t>
            </w:r>
          </w:p>
        </w:tc>
        <w:tc>
          <w:tcPr>
            <w:tcW w:type="dxa" w:w="16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Ref.</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
        <w:gridCol w:w="4300"/>
        <w:gridCol w:w="2880"/>
        <w:gridCol w:w="1640"/>
      </w:tblGrid>
      <w:tr>
        <w:tc>
          <w:tcPr>
            <w:tcW w:type="dxa" w:w="5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222222"/>
                <w:sz w:val="20"/>
                <w:szCs w:val="20"/>
              </w:rPr>
              <w:t xml:space="preserve">Prepare and present financial report to the Chapter Executive Committee (CEC)</w:t>
            </w:r>
          </w:p>
        </w:tc>
        <w:tc>
          <w:tcPr>
            <w:tcW w:type="dxa" w:w="28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444444"/>
                <w:sz w:val="20"/>
                <w:szCs w:val="20"/>
              </w:rPr>
              <w:t xml:space="preserve">Before each CEC meeting</w:t>
            </w:r>
          </w:p>
        </w:tc>
        <w:tc>
          <w:tcPr>
            <w:tcW w:type="dxa" w:w="16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Perform bank reconciliation for chapter account</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By the last business day of the month</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222222"/>
                <w:sz w:val="20"/>
                <w:szCs w:val="20"/>
              </w:rPr>
              <w:t xml:space="preserve">Check and process the chapter postal mailbox</w:t>
            </w:r>
          </w:p>
        </w:tc>
        <w:tc>
          <w:tcPr>
            <w:tcW w:type="dxa" w:w="28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444444"/>
                <w:sz w:val="20"/>
                <w:szCs w:val="20"/>
              </w:rPr>
              <w:t xml:space="preserve">At least weekly; same week as any event</w:t>
            </w:r>
          </w:p>
        </w:tc>
        <w:tc>
          <w:tcPr>
            <w:tcW w:type="dxa" w:w="16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Deposit all event receipts into the chapter bank account</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Within 1-2 business days after each event</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222222"/>
                <w:sz w:val="20"/>
                <w:szCs w:val="20"/>
              </w:rPr>
              <w:t xml:space="preserve">Review all disbursements — verify documentation and CEC authorization</w:t>
            </w:r>
          </w:p>
        </w:tc>
        <w:tc>
          <w:tcPr>
            <w:tcW w:type="dxa" w:w="28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444444"/>
                <w:sz w:val="20"/>
                <w:szCs w:val="20"/>
              </w:rPr>
              <w:t xml:space="preserve">Before issuing any payment</w:t>
            </w:r>
          </w:p>
        </w:tc>
        <w:tc>
          <w:tcPr>
            <w:tcW w:type="dxa" w:w="16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Obtain two signatures on large checks per chapter policy</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At time of each qualifying check issuance</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222222"/>
                <w:sz w:val="20"/>
                <w:szCs w:val="20"/>
              </w:rPr>
              <w:t xml:space="preserve">Verify payment requests via phone before acting on email/text requests — watch for phishing</w:t>
            </w:r>
          </w:p>
        </w:tc>
        <w:tc>
          <w:tcPr>
            <w:tcW w:type="dxa" w:w="28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444444"/>
                <w:sz w:val="20"/>
                <w:szCs w:val="20"/>
              </w:rPr>
              <w:t xml:space="preserve">Before any payment triggered by email or text</w:t>
            </w:r>
          </w:p>
        </w:tc>
        <w:tc>
          <w:tcPr>
            <w:tcW w:type="dxa" w:w="16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1E6B3E" w:val="clear"/>
            <w:tcMar>
              <w:top w:type="dxa" w:w="100"/>
              <w:left w:type="dxa" w:w="160"/>
              <w:bottom w:type="dxa" w:w="100"/>
              <w:right w:type="dxa" w:w="160"/>
            </w:tcMar>
          </w:tcPr>
          <w:p>
            <w:r>
              <w:rPr>
                <w:rFonts w:ascii="Arial" w:cs="Arial" w:eastAsia="Arial" w:hAnsi="Arial"/>
                <w:b/>
                <w:bCs/>
                <w:color w:val="FFFFFF"/>
                <w:sz w:val="24"/>
                <w:szCs w:val="24"/>
              </w:rPr>
              <w:t xml:space="preserve">QUARTERLY TASKS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
        <w:gridCol w:w="4300"/>
        <w:gridCol w:w="2880"/>
        <w:gridCol w:w="1640"/>
      </w:tblGrid>
      <w:tr>
        <w:tc>
          <w:tcPr>
            <w:tcW w:type="dxa" w:w="5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
            </w:r>
          </w:p>
        </w:tc>
        <w:tc>
          <w:tcPr>
            <w:tcW w:type="dxa" w:w="4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Task</w:t>
            </w:r>
          </w:p>
        </w:tc>
        <w:tc>
          <w:tcPr>
            <w:tcW w:type="dxa" w:w="28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When to complete</w:t>
            </w:r>
          </w:p>
        </w:tc>
        <w:tc>
          <w:tcPr>
            <w:tcW w:type="dxa" w:w="16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Ref.</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
        <w:gridCol w:w="4300"/>
        <w:gridCol w:w="2880"/>
        <w:gridCol w:w="1640"/>
      </w:tblGrid>
      <w:tr>
        <w:tc>
          <w:tcPr>
            <w:tcW w:type="dxa" w:w="54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222222"/>
                <w:sz w:val="20"/>
                <w:szCs w:val="20"/>
              </w:rPr>
              <w:t xml:space="preserve">Review the vendor list — confirm all vendors are authorized by the CEC</w:t>
            </w:r>
          </w:p>
        </w:tc>
        <w:tc>
          <w:tcPr>
            <w:tcW w:type="dxa" w:w="288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444444"/>
                <w:sz w:val="20"/>
                <w:szCs w:val="20"/>
              </w:rPr>
              <w:t xml:space="preserve">Once per quarter</w:t>
            </w:r>
          </w:p>
        </w:tc>
        <w:tc>
          <w:tcPr>
            <w:tcW w:type="dxa" w:w="164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Audit chapter debit card usage — confirm no personal purchases, cash advances, or unauthorized expenses</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Once per quarter</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222222"/>
                <w:sz w:val="20"/>
                <w:szCs w:val="20"/>
              </w:rPr>
              <w:t xml:space="preserve">Confirm ACH authorization form and banking contact on file with AGA National are current</w:t>
            </w:r>
          </w:p>
        </w:tc>
        <w:tc>
          <w:tcPr>
            <w:tcW w:type="dxa" w:w="288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444444"/>
                <w:sz w:val="20"/>
                <w:szCs w:val="20"/>
              </w:rPr>
              <w:t xml:space="preserve">Quarterly; immediately upon any banking change</w:t>
            </w:r>
          </w:p>
        </w:tc>
        <w:tc>
          <w:tcPr>
            <w:tcW w:type="dxa" w:w="164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Review chapter security software — confirm automatic updates are active</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Once per quarter</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222222"/>
                <w:sz w:val="20"/>
                <w:szCs w:val="20"/>
              </w:rPr>
              <w:t xml:space="preserve">Confirm chapter's affinity/cash-back rewards are deposited to chapter account per CEC direction</w:t>
            </w:r>
          </w:p>
        </w:tc>
        <w:tc>
          <w:tcPr>
            <w:tcW w:type="dxa" w:w="288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444444"/>
                <w:sz w:val="20"/>
                <w:szCs w:val="20"/>
              </w:rPr>
              <w:t xml:space="preserve">Once per quarter</w:t>
            </w:r>
          </w:p>
        </w:tc>
        <w:tc>
          <w:tcPr>
            <w:tcW w:type="dxa" w:w="1640"/>
            <w:tcBorders>
              <w:top w:val="single" w:color="CCCCCC" w:sz="1"/>
              <w:left w:val="single" w:color="CCCCCC" w:sz="1"/>
              <w:bottom w:val="single" w:color="CCCCCC" w:sz="1"/>
              <w:right w:val="single" w:color="CCCCCC" w:sz="1"/>
            </w:tcBorders>
            <w:shd w:fill="E2EFDA"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BF8F00" w:val="clear"/>
            <w:tcMar>
              <w:top w:type="dxa" w:w="100"/>
              <w:left w:type="dxa" w:w="160"/>
              <w:bottom w:type="dxa" w:w="100"/>
              <w:right w:type="dxa" w:w="160"/>
            </w:tcMar>
          </w:tcPr>
          <w:p>
            <w:r>
              <w:rPr>
                <w:rFonts w:ascii="Arial" w:cs="Arial" w:eastAsia="Arial" w:hAnsi="Arial"/>
                <w:b/>
                <w:bCs/>
                <w:color w:val="FFFFFF"/>
                <w:sz w:val="24"/>
                <w:szCs w:val="24"/>
              </w:rPr>
              <w:t xml:space="preserve">ANNUAL TASKS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
        <w:gridCol w:w="4300"/>
        <w:gridCol w:w="2880"/>
        <w:gridCol w:w="1640"/>
      </w:tblGrid>
      <w:tr>
        <w:tc>
          <w:tcPr>
            <w:tcW w:type="dxa" w:w="5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
            </w:r>
          </w:p>
        </w:tc>
        <w:tc>
          <w:tcPr>
            <w:tcW w:type="dxa" w:w="4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Task</w:t>
            </w:r>
          </w:p>
        </w:tc>
        <w:tc>
          <w:tcPr>
            <w:tcW w:type="dxa" w:w="28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When to complete</w:t>
            </w:r>
          </w:p>
        </w:tc>
        <w:tc>
          <w:tcPr>
            <w:tcW w:type="dxa" w:w="16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Ref.</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
        <w:gridCol w:w="4300"/>
        <w:gridCol w:w="2880"/>
        <w:gridCol w:w="1640"/>
      </w:tblGrid>
      <w:tr>
        <w:tc>
          <w:tcPr>
            <w:tcW w:type="dxa" w:w="54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222222"/>
                <w:sz w:val="20"/>
                <w:szCs w:val="20"/>
              </w:rPr>
              <w:t xml:space="preserve">File IRS Form 990-N (receipts &lt;= $50K), 990-EZ ($50K-$200K), or 990 (&gt;= $200K or assets &gt;= $500K)</w:t>
            </w:r>
          </w:p>
        </w:tc>
        <w:tc>
          <w:tcPr>
            <w:tcW w:type="dxa" w:w="288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444444"/>
                <w:sz w:val="20"/>
                <w:szCs w:val="20"/>
              </w:rPr>
              <w:t xml:space="preserve">By 15th day of 5th month after fiscal year-end</w:t>
            </w:r>
          </w:p>
        </w:tc>
        <w:tc>
          <w:tcPr>
            <w:tcW w:type="dxa" w:w="164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 Appendix A</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File state tax returns and any required state registrations (Comptroller, Secretary of State, etc.)</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Per state-specific deadlines</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222222"/>
                <w:sz w:val="20"/>
                <w:szCs w:val="20"/>
              </w:rPr>
              <w:t xml:space="preserve">Verify chapter EIN, address, and contact are included on AGA National's annual IRS group exemption list (GEN 3409)</w:t>
            </w:r>
          </w:p>
        </w:tc>
        <w:tc>
          <w:tcPr>
            <w:tcW w:type="dxa" w:w="288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444444"/>
                <w:sz w:val="20"/>
                <w:szCs w:val="20"/>
              </w:rPr>
              <w:t xml:space="preserve">When requested by AGA National; before IRS annual submission</w:t>
            </w:r>
          </w:p>
        </w:tc>
        <w:tc>
          <w:tcPr>
            <w:tcW w:type="dxa" w:w="164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Confirm chapter's 501(c)(3) status has not been revoked — check IRS or GuideStar</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Early in each program year (July-August)</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 Appendix A Q9/10</w:t>
            </w:r>
          </w:p>
        </w:tc>
      </w:tr>
      <w:tr>
        <w:tc>
          <w:tcPr>
            <w:tcW w:type="dxa" w:w="54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222222"/>
                <w:sz w:val="20"/>
                <w:szCs w:val="20"/>
              </w:rPr>
              <w:t xml:space="preserve">Arrange and complete annual financial evaluation or audit (independent member or accounting firm)</w:t>
            </w:r>
          </w:p>
        </w:tc>
        <w:tc>
          <w:tcPr>
            <w:tcW w:type="dxa" w:w="288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444444"/>
                <w:sz w:val="20"/>
                <w:szCs w:val="20"/>
              </w:rPr>
              <w:t xml:space="preserve">Before new treasurer takes office; before June 30</w:t>
            </w:r>
          </w:p>
        </w:tc>
        <w:tc>
          <w:tcPr>
            <w:tcW w:type="dxa" w:w="164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Work with the CEC to develop the annual chapter budget (events, locations, speakers, CPE costs)</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Prior to start of program year (before July 1)</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222222"/>
                <w:sz w:val="20"/>
                <w:szCs w:val="20"/>
              </w:rPr>
              <w:t xml:space="preserve">Submit chapter officer/contact updates to AGA National staff</w:t>
            </w:r>
          </w:p>
        </w:tc>
        <w:tc>
          <w:tcPr>
            <w:tcW w:type="dxa" w:w="288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444444"/>
                <w:sz w:val="20"/>
                <w:szCs w:val="20"/>
              </w:rPr>
              <w:t xml:space="preserve">July 1 (start of program year) and whenever changes occur</w:t>
            </w:r>
          </w:p>
        </w:tc>
        <w:tc>
          <w:tcPr>
            <w:tcW w:type="dxa" w:w="1640"/>
            <w:tcBorders>
              <w:top w:val="single" w:color="CCCCCC" w:sz="1"/>
              <w:left w:val="single" w:color="CCCCCC" w:sz="1"/>
              <w:bottom w:val="single" w:color="CCCCCC" w:sz="1"/>
              <w:right w:val="single" w:color="CCCCCC" w:sz="1"/>
            </w:tcBorders>
            <w:shd w:fill="FFF2CC" w:val="clear"/>
            <w:tcMar>
              <w:top w:type="dxa" w:w="80"/>
              <w:left w:type="dxa" w:w="120"/>
              <w:bottom w:type="dxa" w:w="80"/>
              <w:right w:type="dxa" w:w="120"/>
            </w:tcMar>
          </w:tcPr>
          <w:p>
            <w:r>
              <w:rPr>
                <w:rFonts w:ascii="Arial" w:cs="Arial" w:eastAsia="Arial" w:hAnsi="Arial"/>
                <w:b w:val="false"/>
                <w:bCs w:val="false"/>
                <w:color w:val="555555"/>
                <w:sz w:val="18"/>
                <w:szCs w:val="18"/>
              </w:rPr>
              <w:t xml:space="preserve">Leadership Handbook, Section II</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Conduct joint file review with outgoing/incoming treasurer — retain required records</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Before June 30 transition</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Leadership Handbook</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5B3FA0" w:val="clear"/>
            <w:tcMar>
              <w:top w:type="dxa" w:w="100"/>
              <w:left w:type="dxa" w:w="160"/>
              <w:bottom w:type="dxa" w:w="100"/>
              <w:right w:type="dxa" w:w="160"/>
            </w:tcMar>
          </w:tcPr>
          <w:p>
            <w:r>
              <w:rPr>
                <w:rFonts w:ascii="Arial" w:cs="Arial" w:eastAsia="Arial" w:hAnsi="Arial"/>
                <w:b/>
                <w:bCs/>
                <w:color w:val="FFFFFF"/>
                <w:sz w:val="24"/>
                <w:szCs w:val="24"/>
              </w:rPr>
              <w:t xml:space="preserve">ONGOING / AS-NEEDED TASKS</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
        <w:gridCol w:w="4300"/>
        <w:gridCol w:w="2880"/>
        <w:gridCol w:w="1640"/>
      </w:tblGrid>
      <w:tr>
        <w:tc>
          <w:tcPr>
            <w:tcW w:type="dxa" w:w="5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
            </w:r>
          </w:p>
        </w:tc>
        <w:tc>
          <w:tcPr>
            <w:tcW w:type="dxa" w:w="4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Task</w:t>
            </w:r>
          </w:p>
        </w:tc>
        <w:tc>
          <w:tcPr>
            <w:tcW w:type="dxa" w:w="28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When to complete</w:t>
            </w:r>
          </w:p>
        </w:tc>
        <w:tc>
          <w:tcPr>
            <w:tcW w:type="dxa" w:w="16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Ref.</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
        <w:gridCol w:w="4300"/>
        <w:gridCol w:w="2880"/>
        <w:gridCol w:w="1640"/>
      </w:tblGrid>
      <w:tr>
        <w:tc>
          <w:tcPr>
            <w:tcW w:type="dxa" w:w="54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222222"/>
                <w:sz w:val="20"/>
                <w:szCs w:val="20"/>
              </w:rPr>
              <w:t xml:space="preserve">Secure event insurance policy for personal injury and property damage (chapter events are NOT covered under AGA National's master policy)</w:t>
            </w:r>
          </w:p>
        </w:tc>
        <w:tc>
          <w:tcPr>
            <w:tcW w:type="dxa" w:w="288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444444"/>
                <w:sz w:val="20"/>
                <w:szCs w:val="20"/>
              </w:rPr>
              <w:t xml:space="preserve">Before each chapter/regional event</w:t>
            </w:r>
          </w:p>
        </w:tc>
        <w:tc>
          <w:tcPr>
            <w:tcW w:type="dxa" w:w="164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Safeguard sensitive PII (home addresses, birth dates, financial account numbers) — do not store or transmit without authorization</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Whenever member data is received</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222222"/>
                <w:sz w:val="20"/>
                <w:szCs w:val="20"/>
              </w:rPr>
              <w:t xml:space="preserve">Research and select a compliant debit/credit card processor if chapter accepts card payments at events</w:t>
            </w:r>
          </w:p>
        </w:tc>
        <w:tc>
          <w:tcPr>
            <w:tcW w:type="dxa" w:w="288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444444"/>
                <w:sz w:val="20"/>
                <w:szCs w:val="20"/>
              </w:rPr>
              <w:t xml:space="preserve">Before first event requiring card processing</w:t>
            </w:r>
          </w:p>
        </w:tc>
        <w:tc>
          <w:tcPr>
            <w:tcW w:type="dxa" w:w="164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Present all vendor bills to the CEC and finance committee before payment</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Prior to each disbursement</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222222"/>
                <w:sz w:val="20"/>
                <w:szCs w:val="20"/>
              </w:rPr>
              <w:t xml:space="preserve">Coordinate with chapter services manager if chapter is transitioning, merging, or at risk of inactivity</w:t>
            </w:r>
          </w:p>
        </w:tc>
        <w:tc>
          <w:tcPr>
            <w:tcW w:type="dxa" w:w="288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444444"/>
                <w:sz w:val="20"/>
                <w:szCs w:val="20"/>
              </w:rPr>
              <w:t xml:space="preserve">As situation arises</w:t>
            </w:r>
          </w:p>
        </w:tc>
        <w:tc>
          <w:tcPr>
            <w:tcW w:type="dxa" w:w="1640"/>
            <w:tcBorders>
              <w:top w:val="single" w:color="CCCCCC" w:sz="1"/>
              <w:left w:val="single" w:color="CCCCCC" w:sz="1"/>
              <w:bottom w:val="single" w:color="CCCCCC" w:sz="1"/>
              <w:right w:val="single" w:color="CCCCCC" w:sz="1"/>
            </w:tcBorders>
            <w:shd w:fill="EDE7F6"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Respond promptly to AGA National requests for tax information, EIN updates, or compliance documentation</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Within requested timeframe</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8B0045" w:val="clear"/>
            <w:tcMar>
              <w:top w:type="dxa" w:w="100"/>
              <w:left w:type="dxa" w:w="160"/>
              <w:bottom w:type="dxa" w:w="100"/>
              <w:right w:type="dxa" w:w="160"/>
            </w:tcMar>
          </w:tcPr>
          <w:p>
            <w:r>
              <w:rPr>
                <w:rFonts w:ascii="Arial" w:cs="Arial" w:eastAsia="Arial" w:hAnsi="Arial"/>
                <w:b/>
                <w:bCs/>
                <w:color w:val="FFFFFF"/>
                <w:sz w:val="24"/>
                <w:szCs w:val="24"/>
              </w:rPr>
              <w:t xml:space="preserve">NEW CHAPTER SETUP (one-time)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
        <w:gridCol w:w="4300"/>
        <w:gridCol w:w="2880"/>
        <w:gridCol w:w="1640"/>
      </w:tblGrid>
      <w:tr>
        <w:tc>
          <w:tcPr>
            <w:tcW w:type="dxa" w:w="5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
            </w:r>
          </w:p>
        </w:tc>
        <w:tc>
          <w:tcPr>
            <w:tcW w:type="dxa" w:w="4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Task</w:t>
            </w:r>
          </w:p>
        </w:tc>
        <w:tc>
          <w:tcPr>
            <w:tcW w:type="dxa" w:w="28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When to complete</w:t>
            </w:r>
          </w:p>
        </w:tc>
        <w:tc>
          <w:tcPr>
            <w:tcW w:type="dxa" w:w="164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r>
              <w:rPr>
                <w:rFonts w:ascii="Arial" w:cs="Arial" w:eastAsia="Arial" w:hAnsi="Arial"/>
                <w:b/>
                <w:bCs/>
                <w:color w:val="000000"/>
                <w:sz w:val="20"/>
                <w:szCs w:val="20"/>
              </w:rPr>
              <w:t xml:space="preserve">Ref.</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
        <w:gridCol w:w="4300"/>
        <w:gridCol w:w="2880"/>
        <w:gridCol w:w="1640"/>
      </w:tblGrid>
      <w:tr>
        <w:tc>
          <w:tcPr>
            <w:tcW w:type="dxa" w:w="54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222222"/>
                <w:sz w:val="20"/>
                <w:szCs w:val="20"/>
              </w:rPr>
              <w:t xml:space="preserve">Obtain approval from AGA National to establish the chapter</w:t>
            </w:r>
          </w:p>
        </w:tc>
        <w:tc>
          <w:tcPr>
            <w:tcW w:type="dxa" w:w="288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444444"/>
                <w:sz w:val="20"/>
                <w:szCs w:val="20"/>
              </w:rPr>
              <w:t xml:space="preserve">Before any other setup steps</w:t>
            </w:r>
          </w:p>
        </w:tc>
        <w:tc>
          <w:tcPr>
            <w:tcW w:type="dxa" w:w="164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Establish chapter PO Box or mailing address</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At setup</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222222"/>
                <w:sz w:val="20"/>
                <w:szCs w:val="20"/>
              </w:rPr>
              <w:t xml:space="preserve">File articles of incorporation or certificate of incorporation with Secretary of State</w:t>
            </w:r>
          </w:p>
        </w:tc>
        <w:tc>
          <w:tcPr>
            <w:tcW w:type="dxa" w:w="288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444444"/>
                <w:sz w:val="20"/>
                <w:szCs w:val="20"/>
              </w:rPr>
              <w:t xml:space="preserve">At setup</w:t>
            </w:r>
          </w:p>
        </w:tc>
        <w:tc>
          <w:tcPr>
            <w:tcW w:type="dxa" w:w="164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Apply for Employer Identification Number (EIN) using IRS Form SS-4</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Before opening bank account or filing returns</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 Appendix A Q6</w:t>
            </w:r>
          </w:p>
        </w:tc>
      </w:tr>
      <w:tr>
        <w:tc>
          <w:tcPr>
            <w:tcW w:type="dxa" w:w="54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222222"/>
                <w:sz w:val="20"/>
                <w:szCs w:val="20"/>
              </w:rPr>
              <w:t xml:space="preserve">Register for state and local 501(c)(3) tax-exempt status</w:t>
            </w:r>
          </w:p>
        </w:tc>
        <w:tc>
          <w:tcPr>
            <w:tcW w:type="dxa" w:w="288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444444"/>
                <w:sz w:val="20"/>
                <w:szCs w:val="20"/>
              </w:rPr>
              <w:t xml:space="preserve">After incorporation; requirements vary by state</w:t>
            </w:r>
          </w:p>
        </w:tc>
        <w:tc>
          <w:tcPr>
            <w:tcW w:type="dxa" w:w="164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Open chapter bank account in the chapter's name</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After EIN is obtained</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222222"/>
                <w:sz w:val="20"/>
                <w:szCs w:val="20"/>
              </w:rPr>
              <w:t xml:space="preserve">Submit ACH authorization form and canceled check to AGA National finance office (finance@agacgfm.org)</w:t>
            </w:r>
          </w:p>
        </w:tc>
        <w:tc>
          <w:tcPr>
            <w:tcW w:type="dxa" w:w="288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444444"/>
                <w:sz w:val="20"/>
                <w:szCs w:val="20"/>
              </w:rPr>
              <w:t xml:space="preserve">Before dues distribution from National</w:t>
            </w:r>
          </w:p>
        </w:tc>
        <w:tc>
          <w:tcPr>
            <w:tcW w:type="dxa" w:w="164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222222"/>
                <w:sz w:val="20"/>
                <w:szCs w:val="20"/>
              </w:rPr>
              <w:t xml:space="preserve">Develop written internal control policies (dual signatures, segregation of duties, reimbursement policy)</w:t>
            </w:r>
          </w:p>
        </w:tc>
        <w:tc>
          <w:tcPr>
            <w:tcW w:type="dxa" w:w="28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444444"/>
                <w:sz w:val="20"/>
                <w:szCs w:val="20"/>
              </w:rPr>
              <w:t xml:space="preserve">Before first financial transaction</w:t>
            </w:r>
          </w:p>
        </w:tc>
        <w:tc>
          <w:tcPr>
            <w:tcW w:type="dxa" w:w="16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555555"/>
                <w:sz w:val="18"/>
                <w:szCs w:val="18"/>
              </w:rPr>
              <w:t xml:space="preserve">Treasurer's Handbook</w:t>
            </w:r>
          </w:p>
        </w:tc>
      </w:tr>
      <w:tr>
        <w:tc>
          <w:tcPr>
            <w:tcW w:type="dxa" w:w="54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404040"/>
                <w:sz w:val="20"/>
                <w:szCs w:val="20"/>
              </w:rPr>
              <w:t xml:space="preserve">☐</w:t>
            </w:r>
          </w:p>
        </w:tc>
        <w:tc>
          <w:tcPr>
            <w:tcW w:type="dxa" w:w="430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222222"/>
                <w:sz w:val="20"/>
                <w:szCs w:val="20"/>
              </w:rPr>
              <w:t xml:space="preserve">Draft chapter bylaws consistent with AGA National bylaws and state law</w:t>
            </w:r>
          </w:p>
        </w:tc>
        <w:tc>
          <w:tcPr>
            <w:tcW w:type="dxa" w:w="288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444444"/>
                <w:sz w:val="20"/>
                <w:szCs w:val="20"/>
              </w:rPr>
              <w:t xml:space="preserve">At setup</w:t>
            </w:r>
          </w:p>
        </w:tc>
        <w:tc>
          <w:tcPr>
            <w:tcW w:type="dxa" w:w="1640"/>
            <w:tcBorders>
              <w:top w:val="single" w:color="CCCCCC" w:sz="1"/>
              <w:left w:val="single" w:color="CCCCCC" w:sz="1"/>
              <w:bottom w:val="single" w:color="CCCCCC" w:sz="1"/>
              <w:right w:val="single" w:color="CCCCCC" w:sz="1"/>
            </w:tcBorders>
            <w:shd w:fill="FCE4EC" w:val="clear"/>
            <w:tcMar>
              <w:top w:type="dxa" w:w="80"/>
              <w:left w:type="dxa" w:w="120"/>
              <w:bottom w:type="dxa" w:w="80"/>
              <w:right w:type="dxa" w:w="120"/>
            </w:tcMar>
          </w:tcPr>
          <w:p>
            <w:r>
              <w:rPr>
                <w:rFonts w:ascii="Arial" w:cs="Arial" w:eastAsia="Arial" w:hAnsi="Arial"/>
                <w:b w:val="false"/>
                <w:bCs w:val="false"/>
                <w:color w:val="555555"/>
                <w:sz w:val="18"/>
                <w:szCs w:val="18"/>
              </w:rPr>
              <w:t xml:space="preserve">Leadership Handbook, Section III</w:t>
            </w:r>
          </w:p>
        </w:tc>
      </w:tr>
    </w:tbl>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120"/>
              <w:left w:type="dxa" w:w="160"/>
              <w:bottom w:type="dxa" w:w="120"/>
              <w:right w:type="dxa" w:w="160"/>
            </w:tcMar>
          </w:tcPr>
          <w:p>
            <w:r>
              <w:rPr>
                <w:rFonts w:ascii="Arial" w:cs="Arial" w:eastAsia="Arial" w:hAnsi="Arial"/>
                <w:b/>
                <w:bCs/>
                <w:color w:val="1F4E79"/>
                <w:sz w:val="22"/>
                <w:szCs w:val="22"/>
              </w:rPr>
              <w:t xml:space="preserve">Key contacts</w:t>
            </w:r>
          </w:p>
          <w:p>
            <w:pPr>
              <w:spacing w:before="80"/>
            </w:pPr>
            <w:r>
              <w:rPr>
                <w:rFonts w:ascii="Arial" w:cs="Arial" w:eastAsia="Arial" w:hAnsi="Arial"/>
                <w:sz w:val="20"/>
                <w:szCs w:val="20"/>
              </w:rPr>
              <w:t xml:space="preserve">AGA Finance &amp; Administration: finance@agacgfm.org</w:t>
            </w:r>
          </w:p>
          <w:p>
            <w:r>
              <w:rPr>
                <w:rFonts w:ascii="Arial" w:cs="Arial" w:eastAsia="Arial" w:hAnsi="Arial"/>
                <w:sz w:val="20"/>
                <w:szCs w:val="20"/>
              </w:rPr>
              <w:t xml:space="preserve">Chapter Services Manager: chapters@agacgfm.org</w:t>
            </w:r>
          </w:p>
          <w:p>
            <w:r>
              <w:rPr>
                <w:rFonts w:ascii="Arial" w:cs="Arial" w:eastAsia="Arial" w:hAnsi="Arial"/>
                <w:sz w:val="20"/>
                <w:szCs w:val="20"/>
              </w:rPr>
              <w:t xml:space="preserve">Meetings &amp; Events: meetings@agacgfm.org</w:t>
            </w:r>
          </w:p>
          <w:p>
            <w:r>
              <w:rPr>
                <w:rFonts w:ascii="Arial" w:cs="Arial" w:eastAsia="Arial" w:hAnsi="Arial"/>
                <w:sz w:val="20"/>
                <w:szCs w:val="20"/>
              </w:rPr>
              <w:t xml:space="preserve">IRS Tax-Exempt Organization Search: www.irs.gov/charities-non-profits/search-for-tax-exempt-organizations</w:t>
            </w:r>
          </w:p>
          <w:p>
            <w:r>
              <w:rPr>
                <w:rFonts w:ascii="Arial" w:cs="Arial" w:eastAsia="Arial" w:hAnsi="Arial"/>
                <w:sz w:val="20"/>
                <w:szCs w:val="20"/>
              </w:rPr>
              <w:t xml:space="preserve">GuideStar (990-EZ filers): www.guidestar.org</w:t>
            </w:r>
          </w:p>
        </w:tc>
      </w:tr>
    </w:tbl>
    <w:p>
      <w:pPr>
        <w:spacing w:after="80" w:before="80"/>
      </w:pPr>
      <w:r>
        <w:t xml:space="preserve"/>
      </w:r>
    </w:p>
    <w:p>
      <w:pPr>
        <w:spacing w:before="80"/>
      </w:pPr>
      <w:r>
        <w:rPr>
          <w:rFonts w:ascii="Arial" w:cs="Arial" w:eastAsia="Arial" w:hAnsi="Arial"/>
          <w:i/>
          <w:iCs/>
          <w:color w:val="888888"/>
          <w:sz w:val="16"/>
          <w:szCs w:val="16"/>
        </w:rPr>
        <w:t xml:space="preserve">AGA Chapter Treasurer's Handbook &amp; Chapter Leadership Handbook, updated July 2025. This checklist does not replace the full handbooks. Chapter-specific procedures may vary.</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1F4E79"/>
      <w:sz w:val="36"/>
      <w:szCs w:val="36"/>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A696ED34404446B71C55E6B013E245" ma:contentTypeVersion="19" ma:contentTypeDescription="Create a new document." ma:contentTypeScope="" ma:versionID="a6362a291933b8ff2331a1ac63f5706f">
  <xsd:schema xmlns:xsd="http://www.w3.org/2001/XMLSchema" xmlns:xs="http://www.w3.org/2001/XMLSchema" xmlns:p="http://schemas.microsoft.com/office/2006/metadata/properties" xmlns:ns2="03f51d2d-0048-471e-852d-1be5523b3377" xmlns:ns3="261c626f-14bd-4750-bc9e-773bafccb085" targetNamespace="http://schemas.microsoft.com/office/2006/metadata/properties" ma:root="true" ma:fieldsID="99ed9171c7a366d4eee43f01ed41b656" ns2:_="" ns3:_="">
    <xsd:import namespace="03f51d2d-0048-471e-852d-1be5523b3377"/>
    <xsd:import namespace="261c626f-14bd-4750-bc9e-773bafccb0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51d2d-0048-471e-852d-1be5523b33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7db6f3-70db-408f-a1a6-f852f9717b9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1c626f-14bd-4750-bc9e-773bafccb08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985bd13-d52f-4cf1-949c-4a628788ed40}" ma:internalName="TaxCatchAll" ma:showField="CatchAllData" ma:web="261c626f-14bd-4750-bc9e-773bafccb0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1c626f-14bd-4750-bc9e-773bafccb085" xsi:nil="true"/>
    <lcf76f155ced4ddcb4097134ff3c332f xmlns="03f51d2d-0048-471e-852d-1be5523b33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D521BA-B396-4BE1-B8FC-A12DD718D14C}"/>
</file>

<file path=customXml/itemProps2.xml><?xml version="1.0" encoding="utf-8"?>
<ds:datastoreItem xmlns:ds="http://schemas.openxmlformats.org/officeDocument/2006/customXml" ds:itemID="{8607A7A7-CD52-4C63-81CC-4CD8B9C41D92}"/>
</file>

<file path=customXml/itemProps3.xml><?xml version="1.0" encoding="utf-8"?>
<ds:datastoreItem xmlns:ds="http://schemas.openxmlformats.org/officeDocument/2006/customXml" ds:itemID="{53B00449-F0D5-4070-A092-A0F2BD9726C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2026-05-21T19:40:36Z</dcterms:created>
  <dcterms:modified xsi:type="dcterms:W3CDTF">2026-05-21T19:40:36Z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0x01010081A696ED34404446B71C55E6B013E245</vt:lpwstr>
  </property>
</Properties>
</file>