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10858"/>
      </w:tblGrid>
      <w:tr>
        <w:tc>
          <w:tcPr>
            <w:tcW w:type="dxa" w:w="10858"/>
            <w:shd w:fill="103B5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DDF3F5"/>
                <w:sz w:val="16"/>
              </w:rPr>
              <w:t>CITIZEN-CENTRIC REPORT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 Display" w:hAnsi="Aptos Display"/>
                <w:b/>
                <w:color w:val="FFFFFF"/>
                <w:sz w:val="44"/>
              </w:rPr>
              <w:t>Virginia Beach FY2025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 w:val="0"/>
                <w:color w:val="DDF3F5"/>
                <w:sz w:val="20"/>
              </w:rPr>
              <w:t>A clear, four-page view of the community, services, finances and the road ahead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14A6B8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  <w:tc>
          <w:tcPr>
            <w:tcW w:type="dxa" w:w="2714"/>
            <w:shd w:fill="63BE7B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  <w:tc>
          <w:tcPr>
            <w:tcW w:type="dxa" w:w="2714"/>
            <w:shd w:fill="F6C445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  <w:tc>
          <w:tcPr>
            <w:tcW w:type="dxa" w:w="2714"/>
            <w:shd w:fill="F26B3A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720840" cy="1508760"/>
            <wp:docPr id="1" name="Picture 1" descr="Virginia Beach financial report visua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84d641c1f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20840" cy="150876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DDF3F5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14A6B8"/>
                <w:sz w:val="30"/>
              </w:rPr>
              <w:t>452,965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6"/>
              </w:rPr>
              <w:t>estimated population</w:t>
            </w:r>
          </w:p>
        </w:tc>
        <w:tc>
          <w:tcPr>
            <w:tcW w:type="dxa" w:w="2714"/>
            <w:shd w:fill="F4F8F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14A6B8"/>
                <w:sz w:val="30"/>
              </w:rPr>
              <w:t>310 sq. mi.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6"/>
              </w:rPr>
              <w:t>city area</w:t>
            </w:r>
          </w:p>
        </w:tc>
        <w:tc>
          <w:tcPr>
            <w:tcW w:type="dxa" w:w="2714"/>
            <w:shd w:fill="DDF3F5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14A6B8"/>
                <w:sz w:val="30"/>
              </w:rPr>
              <w:t>38 miles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6"/>
              </w:rPr>
              <w:t>shoreline</w:t>
            </w:r>
          </w:p>
        </w:tc>
        <w:tc>
          <w:tcPr>
            <w:tcW w:type="dxa" w:w="2714"/>
            <w:shd w:fill="F4F8F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14A6B8"/>
                <w:sz w:val="30"/>
              </w:rPr>
              <w:t>1963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6"/>
              </w:rPr>
              <w:t>city established</w:t>
            </w:r>
          </w:p>
        </w:tc>
      </w:tr>
    </w:tbl>
    <w:p>
      <w:pPr>
        <w:pStyle w:val="Heading1"/>
      </w:pPr>
      <w:r>
        <w:t>Our community and direction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605"/>
        <w:gridCol w:w="9864"/>
      </w:tblGrid>
      <w:tr>
        <w:tc>
          <w:tcPr>
            <w:tcW w:type="dxa" w:w="5429"/>
            <w:shd w:fill="14A6B8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◆</w:t>
            </w:r>
          </w:p>
        </w:tc>
        <w:tc>
          <w:tcPr>
            <w:tcW w:type="dxa" w:w="5429"/>
            <w:shd w:fill="DDF3F5"/>
            <w:tcMar>
              <w:top w:w="65" w:type="dxa"/>
              <w:start w:w="65" w:type="dxa"/>
              <w:bottom w:w="65" w:type="dxa"/>
              <w:end w:w="65" w:type="dxa"/>
            </w:tcMar>
            <w:vAlign w:val="center"/>
          </w:tcPr>
          <w:p>
            <w:pPr>
              <w:spacing w:before="0" w:after="20" w:line="245" w:lineRule="auto"/>
            </w:pPr>
            <w:r>
              <w:rPr>
                <w:rFonts w:ascii="Aptos" w:hAnsi="Aptos"/>
                <w:b/>
                <w:color w:val="103B57"/>
                <w:sz w:val="20"/>
              </w:rPr>
              <w:t>Focused Action Plan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7"/>
              </w:rPr>
              <w:t>The FY24-25 plan aligned work and resources around Govern, Envision and Invigorate. Progress reports documented results for City Council.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3619"/>
        <w:gridCol w:w="3619"/>
        <w:gridCol w:w="3619"/>
      </w:tblGrid>
      <w:tr>
        <w:tc>
          <w:tcPr>
            <w:tcW w:type="dxa" w:w="3619"/>
            <w:shd w:fill="176B8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F6C445"/>
                <w:sz w:val="28"/>
              </w:rPr>
              <w:t>✓</w:t>
            </w:r>
            <w:r>
              <w:rPr>
                <w:rFonts w:ascii="Aptos" w:hAnsi="Aptos"/>
                <w:b/>
                <w:color w:val="FFFFFF"/>
                <w:sz w:val="22"/>
              </w:rPr>
              <w:t xml:space="preserve">  GOVERN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 w:val="0"/>
                <w:color w:val="FFFFFF"/>
                <w:sz w:val="16"/>
              </w:rPr>
              <w:t>Effective, accountable government.</w:t>
            </w:r>
          </w:p>
        </w:tc>
        <w:tc>
          <w:tcPr>
            <w:tcW w:type="dxa" w:w="3619"/>
            <w:shd w:fill="14A6B8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F6C445"/>
                <w:sz w:val="28"/>
              </w:rPr>
              <w:t>◇</w:t>
            </w:r>
            <w:r>
              <w:rPr>
                <w:rFonts w:ascii="Aptos" w:hAnsi="Aptos"/>
                <w:b/>
                <w:color w:val="FFFFFF"/>
                <w:sz w:val="22"/>
              </w:rPr>
              <w:t xml:space="preserve">  ENVISION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 w:val="0"/>
                <w:color w:val="FFFFFF"/>
                <w:sz w:val="16"/>
              </w:rPr>
              <w:t>Plan for a changing community.</w:t>
            </w:r>
          </w:p>
        </w:tc>
        <w:tc>
          <w:tcPr>
            <w:tcW w:type="dxa" w:w="3619"/>
            <w:shd w:fill="63BE7B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F6C445"/>
                <w:sz w:val="28"/>
              </w:rPr>
              <w:t>★</w:t>
            </w:r>
            <w:r>
              <w:rPr>
                <w:rFonts w:ascii="Aptos" w:hAnsi="Aptos"/>
                <w:b/>
                <w:color w:val="FFFFFF"/>
                <w:sz w:val="22"/>
              </w:rPr>
              <w:t xml:space="preserve">  INVIGORATE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 w:val="0"/>
                <w:color w:val="FFFFFF"/>
                <w:sz w:val="16"/>
              </w:rPr>
              <w:t>Quality of life and economic vitality.</w:t>
            </w:r>
          </w:p>
        </w:tc>
      </w:tr>
    </w:tbl>
    <w:p>
      <w:pPr>
        <w:pStyle w:val="Heading2"/>
        <w:spacing w:before="80" w:after="60"/>
      </w:pPr>
      <w:r>
        <w:t>What city government provides</w:t>
      </w:r>
    </w:p>
    <w:p>
      <w:r>
        <w:rPr>
          <w:rFonts w:ascii="Aptos" w:hAnsi="Aptos"/>
          <w:b w:val="0"/>
          <w:color w:val="142F3F"/>
          <w:sz w:val="17"/>
        </w:rPr>
        <w:t>Public safety • education support • public works • parks and recreation • libraries • museums • housing • water, sewer, stormwater and waste services • planning and economic development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605"/>
        <w:gridCol w:w="9864"/>
      </w:tblGrid>
      <w:tr>
        <w:tc>
          <w:tcPr>
            <w:tcW w:type="dxa" w:w="5429"/>
            <w:shd w:fill="14A6B8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i</w:t>
            </w:r>
          </w:p>
        </w:tc>
        <w:tc>
          <w:tcPr>
            <w:tcW w:type="dxa" w:w="5429"/>
            <w:shd w:fill="FFF3D6"/>
            <w:tcMar>
              <w:top w:w="65" w:type="dxa"/>
              <w:start w:w="65" w:type="dxa"/>
              <w:bottom w:w="65" w:type="dxa"/>
              <w:end w:w="65" w:type="dxa"/>
            </w:tcMar>
            <w:vAlign w:val="center"/>
          </w:tcPr>
          <w:p>
            <w:pPr>
              <w:spacing w:before="0" w:after="20" w:line="245" w:lineRule="auto"/>
            </w:pPr>
            <w:r>
              <w:rPr>
                <w:rFonts w:ascii="Aptos" w:hAnsi="Aptos"/>
                <w:b/>
                <w:color w:val="103B57"/>
                <w:sz w:val="20"/>
              </w:rPr>
              <w:t>About this report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7"/>
              </w:rPr>
              <w:t>Selected information from the FY2025 Annual Comprehensive Financial Report. Dollar amounts are rounded. City review is required before publication.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10858"/>
      </w:tblGrid>
      <w:tr>
        <w:tc>
          <w:tcPr>
            <w:tcW w:type="dxa" w:w="10858"/>
            <w:shd w:fill="103B5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DDF3F5"/>
                <w:sz w:val="16"/>
              </w:rPr>
              <w:t>PAGE 2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 Display" w:hAnsi="Aptos Display"/>
                <w:b/>
                <w:color w:val="FFFFFF"/>
                <w:sz w:val="44"/>
              </w:rPr>
              <w:t>FY2025 Performance Highlights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 w:val="0"/>
                <w:color w:val="DDF3F5"/>
                <w:sz w:val="20"/>
              </w:rPr>
              <w:t>Selected results and three-year performance trends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14A6B8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  <w:tc>
          <w:tcPr>
            <w:tcW w:type="dxa" w:w="2714"/>
            <w:shd w:fill="63BE7B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  <w:tc>
          <w:tcPr>
            <w:tcW w:type="dxa" w:w="2714"/>
            <w:shd w:fill="F6C445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  <w:tc>
          <w:tcPr>
            <w:tcW w:type="dxa" w:w="2714"/>
            <w:shd w:fill="F26B3A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3619"/>
        <w:gridCol w:w="3619"/>
        <w:gridCol w:w="3619"/>
      </w:tblGrid>
      <w:tr>
        <w:tc>
          <w:tcPr>
            <w:tcW w:type="dxa" w:w="3484"/>
            <w:shd w:fill="F4F8F9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4F8F9"/>
          </w:tcPr>
          <w:p>
            <w:pPr>
              <w:spacing w:after="60" w:line="259" w:lineRule="auto" w:before="0"/>
              <w:jc w:val="center"/>
            </w:pPr>
            <w:r>
              <w:rPr>
                <w:rFonts w:ascii="Aptos" w:hAnsi="Aptos"/>
                <w:b/>
                <w:color w:val="176B87"/>
                <w:sz w:val="28"/>
              </w:rPr>
              <w:t>✓</w:t>
            </w:r>
            <w:r>
              <w:rPr>
                <w:rFonts w:ascii="Aptos" w:hAnsi="Aptos"/>
                <w:b/>
                <w:color w:val="103B57"/>
                <w:sz w:val="28"/>
              </w:rPr>
              <w:t xml:space="preserve">  GOVERN</w:t>
            </w:r>
          </w:p>
          <w:p>
            <w:pPr>
              <w:spacing w:after="60" w:line="259" w:lineRule="auto" w:before="0"/>
              <w:jc w:val="left"/>
            </w:pPr>
            <w:r>
              <w:rPr>
                <w:rFonts w:ascii="Aptos" w:hAnsi="Aptos"/>
                <w:b/>
                <w:color w:val="142F3F"/>
                <w:sz w:val="20"/>
              </w:rPr>
              <w:t xml:space="preserve">● </w:t>
            </w:r>
            <w:r>
              <w:rPr>
                <w:rFonts w:ascii="Aptos" w:hAnsi="Aptos"/>
                <w:b w:val="0"/>
                <w:color w:val="142F3F"/>
                <w:sz w:val="20"/>
              </w:rPr>
              <w:t>AAA/Aaa bond ratings maintained</w:t>
            </w:r>
          </w:p>
          <w:p>
            <w:pPr>
              <w:spacing w:after="60" w:line="259" w:lineRule="auto" w:before="0"/>
              <w:jc w:val="left"/>
            </w:pPr>
            <w:r>
              <w:rPr>
                <w:rFonts w:ascii="Aptos" w:hAnsi="Aptos"/>
                <w:b/>
                <w:color w:val="142F3F"/>
                <w:sz w:val="20"/>
              </w:rPr>
              <w:t xml:space="preserve">● </w:t>
            </w:r>
            <w:r>
              <w:rPr>
                <w:rFonts w:ascii="Aptos" w:hAnsi="Aptos"/>
                <w:b w:val="0"/>
                <w:color w:val="142F3F"/>
                <w:sz w:val="20"/>
              </w:rPr>
              <w:t>Real estate tax base: $82.0B</w:t>
            </w:r>
          </w:p>
          <w:p>
            <w:pPr>
              <w:spacing w:after="60" w:line="259" w:lineRule="auto" w:before="0"/>
              <w:jc w:val="left"/>
            </w:pPr>
            <w:r>
              <w:rPr>
                <w:rFonts w:ascii="Aptos" w:hAnsi="Aptos"/>
                <w:b/>
                <w:color w:val="142F3F"/>
                <w:sz w:val="20"/>
              </w:rPr>
              <w:t xml:space="preserve">● </w:t>
            </w:r>
            <w:r>
              <w:rPr>
                <w:rFonts w:ascii="Aptos" w:hAnsi="Aptos"/>
                <w:b w:val="0"/>
                <w:color w:val="142F3F"/>
                <w:sz w:val="20"/>
              </w:rPr>
              <w:t>Clean FY2025 audit opinion</w:t>
            </w:r>
          </w:p>
          <w:p>
            <w:pPr>
              <w:spacing w:after="60" w:line="259" w:lineRule="auto" w:before="0"/>
              <w:jc w:val="left"/>
            </w:pPr>
            <w:r>
              <w:rPr>
                <w:rFonts w:ascii="Aptos" w:hAnsi="Aptos"/>
                <w:b/>
                <w:color w:val="142F3F"/>
                <w:sz w:val="20"/>
              </w:rPr>
              <w:t xml:space="preserve">● </w:t>
            </w:r>
            <w:r>
              <w:rPr>
                <w:rFonts w:ascii="Aptos" w:hAnsi="Aptos"/>
                <w:b w:val="0"/>
                <w:color w:val="142F3F"/>
                <w:sz w:val="20"/>
              </w:rPr>
              <w:t>GFOA reporting recognition</w:t>
            </w:r>
          </w:p>
          <w:p>
            <w:pPr>
              <w:spacing w:after="60" w:line="259" w:lineRule="auto" w:before="0"/>
              <w:jc w:val="center"/>
            </w:pPr>
            <w:r>
              <w:rPr>
                <w:rFonts w:ascii="Aptos" w:hAnsi="Aptos"/>
                <w:b/>
                <w:color w:val="F26B3A"/>
                <w:sz w:val="54"/>
              </w:rPr>
              <w:t>$82B</w:t>
            </w:r>
          </w:p>
          <w:p>
            <w:pPr>
              <w:spacing w:after="60" w:line="259" w:lineRule="auto" w:before="0"/>
              <w:jc w:val="center"/>
            </w:pPr>
            <w:r>
              <w:rPr>
                <w:rFonts w:ascii="Aptos" w:hAnsi="Aptos"/>
                <w:b/>
                <w:color w:val="103B57"/>
                <w:sz w:val="21"/>
              </w:rPr>
              <w:t>REAL ESTATE TAX BASE</w:t>
            </w:r>
          </w:p>
        </w:tc>
        <w:tc>
          <w:tcPr>
            <w:tcW w:type="dxa" w:w="3484"/>
            <w:shd w:fill="F4F8F9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4F8F9"/>
          </w:tcPr>
          <w:p>
            <w:pPr>
              <w:spacing w:after="60" w:line="259" w:lineRule="auto" w:before="0"/>
              <w:jc w:val="center"/>
            </w:pPr>
            <w:r>
              <w:rPr>
                <w:rFonts w:ascii="Aptos" w:hAnsi="Aptos"/>
                <w:b/>
                <w:color w:val="14A6B8"/>
                <w:sz w:val="28"/>
              </w:rPr>
              <w:t>◇</w:t>
            </w:r>
            <w:r>
              <w:rPr>
                <w:rFonts w:ascii="Aptos" w:hAnsi="Aptos"/>
                <w:b/>
                <w:color w:val="103B57"/>
                <w:sz w:val="28"/>
              </w:rPr>
              <w:t xml:space="preserve">  ENVISION</w:t>
            </w:r>
          </w:p>
          <w:p>
            <w:pPr>
              <w:spacing w:after="60" w:line="259" w:lineRule="auto" w:before="0"/>
              <w:jc w:val="left"/>
            </w:pPr>
            <w:r>
              <w:rPr>
                <w:rFonts w:ascii="Aptos" w:hAnsi="Aptos"/>
                <w:b/>
                <w:color w:val="142F3F"/>
                <w:sz w:val="20"/>
              </w:rPr>
              <w:t xml:space="preserve">● </w:t>
            </w:r>
            <w:r>
              <w:rPr>
                <w:rFonts w:ascii="Aptos" w:hAnsi="Aptos"/>
                <w:b w:val="0"/>
                <w:color w:val="142F3F"/>
                <w:sz w:val="20"/>
              </w:rPr>
              <w:t>Windsor Woods Tide Gate operational</w:t>
            </w:r>
          </w:p>
          <w:p>
            <w:pPr>
              <w:spacing w:after="60" w:line="259" w:lineRule="auto" w:before="0"/>
              <w:jc w:val="left"/>
            </w:pPr>
            <w:r>
              <w:rPr>
                <w:rFonts w:ascii="Aptos" w:hAnsi="Aptos"/>
                <w:b/>
                <w:color w:val="142F3F"/>
                <w:sz w:val="20"/>
              </w:rPr>
              <w:t xml:space="preserve">● </w:t>
            </w:r>
            <w:r>
              <w:rPr>
                <w:rFonts w:ascii="Aptos" w:hAnsi="Aptos"/>
                <w:b w:val="0"/>
                <w:color w:val="142F3F"/>
                <w:sz w:val="20"/>
              </w:rPr>
              <w:t>Bow Creek wetlands complete</w:t>
            </w:r>
          </w:p>
          <w:p>
            <w:pPr>
              <w:spacing w:after="60" w:line="259" w:lineRule="auto" w:before="0"/>
              <w:jc w:val="left"/>
            </w:pPr>
            <w:r>
              <w:rPr>
                <w:rFonts w:ascii="Aptos" w:hAnsi="Aptos"/>
                <w:b/>
                <w:color w:val="142F3F"/>
                <w:sz w:val="20"/>
              </w:rPr>
              <w:t xml:space="preserve">● </w:t>
            </w:r>
            <w:r>
              <w:rPr>
                <w:rFonts w:ascii="Aptos" w:hAnsi="Aptos"/>
                <w:b w:val="0"/>
                <w:color w:val="142F3F"/>
                <w:sz w:val="20"/>
              </w:rPr>
              <w:t>14.3M visitors in 2024</w:t>
            </w:r>
          </w:p>
          <w:p>
            <w:pPr>
              <w:spacing w:after="60" w:line="259" w:lineRule="auto" w:before="0"/>
              <w:jc w:val="left"/>
            </w:pPr>
            <w:r>
              <w:rPr>
                <w:rFonts w:ascii="Aptos" w:hAnsi="Aptos"/>
                <w:b/>
                <w:color w:val="142F3F"/>
                <w:sz w:val="20"/>
              </w:rPr>
              <w:t xml:space="preserve">● </w:t>
            </w:r>
            <w:r>
              <w:rPr>
                <w:rFonts w:ascii="Aptos" w:hAnsi="Aptos"/>
                <w:b w:val="0"/>
                <w:color w:val="142F3F"/>
                <w:sz w:val="20"/>
              </w:rPr>
              <w:t>imagineVB 2040 adopted</w:t>
            </w:r>
          </w:p>
          <w:p>
            <w:pPr>
              <w:spacing w:after="60" w:line="259" w:lineRule="auto" w:before="0"/>
              <w:jc w:val="center"/>
            </w:pPr>
            <w:r>
              <w:rPr>
                <w:rFonts w:ascii="Aptos" w:hAnsi="Aptos"/>
                <w:b/>
                <w:color w:val="F26B3A"/>
                <w:sz w:val="54"/>
              </w:rPr>
              <w:t>$2.6B</w:t>
            </w:r>
          </w:p>
          <w:p>
            <w:pPr>
              <w:spacing w:after="60" w:line="259" w:lineRule="auto" w:before="0"/>
              <w:jc w:val="center"/>
            </w:pPr>
            <w:r>
              <w:rPr>
                <w:rFonts w:ascii="Aptos" w:hAnsi="Aptos"/>
                <w:b/>
                <w:color w:val="103B57"/>
                <w:sz w:val="21"/>
              </w:rPr>
              <w:t>TOURISM IMPACT</w:t>
            </w:r>
          </w:p>
        </w:tc>
        <w:tc>
          <w:tcPr>
            <w:tcW w:type="dxa" w:w="3484"/>
            <w:shd w:fill="F4F8F9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4F8F9"/>
          </w:tcPr>
          <w:p>
            <w:pPr>
              <w:spacing w:after="60" w:line="259" w:lineRule="auto" w:before="0"/>
              <w:jc w:val="center"/>
            </w:pPr>
            <w:r>
              <w:rPr>
                <w:rFonts w:ascii="Aptos" w:hAnsi="Aptos"/>
                <w:b/>
                <w:color w:val="63BE7B"/>
                <w:sz w:val="28"/>
              </w:rPr>
              <w:t>★</w:t>
            </w:r>
            <w:r>
              <w:rPr>
                <w:rFonts w:ascii="Aptos" w:hAnsi="Aptos"/>
                <w:b/>
                <w:color w:val="103B57"/>
                <w:sz w:val="28"/>
              </w:rPr>
              <w:t xml:space="preserve">  INVIGORATE</w:t>
            </w:r>
          </w:p>
          <w:p>
            <w:pPr>
              <w:spacing w:after="60" w:line="259" w:lineRule="auto" w:before="0"/>
              <w:jc w:val="left"/>
            </w:pPr>
            <w:r>
              <w:rPr>
                <w:rFonts w:ascii="Aptos" w:hAnsi="Aptos"/>
                <w:b/>
                <w:color w:val="142F3F"/>
                <w:sz w:val="20"/>
              </w:rPr>
              <w:t xml:space="preserve">● </w:t>
            </w:r>
            <w:r>
              <w:rPr>
                <w:rFonts w:ascii="Aptos" w:hAnsi="Aptos"/>
                <w:b w:val="0"/>
                <w:color w:val="142F3F"/>
                <w:sz w:val="20"/>
              </w:rPr>
              <w:t>Violent crime: 419, five-year low</w:t>
            </w:r>
          </w:p>
          <w:p>
            <w:pPr>
              <w:spacing w:after="60" w:line="259" w:lineRule="auto" w:before="0"/>
              <w:jc w:val="left"/>
            </w:pPr>
            <w:r>
              <w:rPr>
                <w:rFonts w:ascii="Aptos" w:hAnsi="Aptos"/>
                <w:b/>
                <w:color w:val="142F3F"/>
                <w:sz w:val="20"/>
              </w:rPr>
              <w:t xml:space="preserve">● </w:t>
            </w:r>
            <w:r>
              <w:rPr>
                <w:rFonts w:ascii="Aptos" w:hAnsi="Aptos"/>
                <w:b w:val="0"/>
                <w:color w:val="142F3F"/>
                <w:sz w:val="20"/>
              </w:rPr>
              <w:t>Property crime: 6,735, five-year low</w:t>
            </w:r>
          </w:p>
          <w:p>
            <w:pPr>
              <w:spacing w:after="60" w:line="259" w:lineRule="auto" w:before="0"/>
              <w:jc w:val="left"/>
            </w:pPr>
            <w:r>
              <w:rPr>
                <w:rFonts w:ascii="Aptos" w:hAnsi="Aptos"/>
                <w:b/>
                <w:color w:val="142F3F"/>
                <w:sz w:val="20"/>
              </w:rPr>
              <w:t xml:space="preserve">● </w:t>
            </w:r>
            <w:r>
              <w:rPr>
                <w:rFonts w:ascii="Aptos" w:hAnsi="Aptos"/>
                <w:b w:val="0"/>
                <w:color w:val="142F3F"/>
                <w:sz w:val="20"/>
              </w:rPr>
              <w:t>293 parks and 7,400+ acres</w:t>
            </w:r>
          </w:p>
          <w:p>
            <w:pPr>
              <w:spacing w:after="60" w:line="259" w:lineRule="auto" w:before="0"/>
              <w:jc w:val="left"/>
            </w:pPr>
            <w:r>
              <w:rPr>
                <w:rFonts w:ascii="Aptos" w:hAnsi="Aptos"/>
                <w:b/>
                <w:color w:val="142F3F"/>
                <w:sz w:val="20"/>
              </w:rPr>
              <w:t xml:space="preserve">● </w:t>
            </w:r>
            <w:r>
              <w:rPr>
                <w:rFonts w:ascii="Aptos" w:hAnsi="Aptos"/>
                <w:b w:val="0"/>
                <w:color w:val="142F3F"/>
                <w:sz w:val="20"/>
              </w:rPr>
              <w:t>1,300+ trees planted</w:t>
            </w:r>
          </w:p>
          <w:p>
            <w:pPr>
              <w:spacing w:after="60" w:line="259" w:lineRule="auto" w:before="0"/>
              <w:jc w:val="center"/>
            </w:pPr>
            <w:r>
              <w:rPr>
                <w:rFonts w:ascii="Aptos Display" w:hAnsi="Aptos Display"/>
                <w:b/>
                <w:color w:val="F26B3A"/>
                <w:sz w:val="58"/>
              </w:rPr>
              <w:t>419  ▼</w:t>
            </w:r>
          </w:p>
          <w:p>
            <w:pPr>
              <w:spacing w:after="60" w:line="259" w:lineRule="auto" w:before="0"/>
              <w:jc w:val="center"/>
            </w:pPr>
            <w:r>
              <w:rPr>
                <w:b/>
                <w:color w:val="103B57"/>
                <w:sz w:val="19"/>
              </w:rPr>
              <w:t>VIOLENT CRIMES  |  FIVE-YEAR LOW</w:t>
            </w:r>
          </w:p>
        </w:tc>
      </w:tr>
    </w:tbl>
    <w:p>
      <w:pPr>
        <w:pStyle w:val="Heading2"/>
        <w:spacing w:before="80" w:after="60"/>
      </w:pPr>
      <w:r>
        <w:t>Three-year performance trends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2172"/>
        <w:gridCol w:w="2172"/>
        <w:gridCol w:w="2172"/>
        <w:gridCol w:w="2172"/>
        <w:gridCol w:w="2172"/>
      </w:tblGrid>
      <w:tr>
        <w:tc>
          <w:tcPr>
            <w:tcW w:type="dxa" w:w="3499"/>
            <w:shd w:fill="103B57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1324"/>
            <w:shd w:fill="103B57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FY2023</w:t>
            </w:r>
          </w:p>
        </w:tc>
        <w:tc>
          <w:tcPr>
            <w:tcW w:type="dxa" w:w="1324"/>
            <w:shd w:fill="103B57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FY2024</w:t>
            </w:r>
          </w:p>
        </w:tc>
        <w:tc>
          <w:tcPr>
            <w:tcW w:type="dxa" w:w="1324"/>
            <w:shd w:fill="103B57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FY2025</w:t>
            </w:r>
          </w:p>
        </w:tc>
        <w:tc>
          <w:tcPr>
            <w:tcW w:type="dxa" w:w="2260"/>
            <w:shd w:fill="103B57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TREND</w:t>
            </w:r>
          </w:p>
        </w:tc>
      </w:tr>
      <w:tr>
        <w:tc>
          <w:tcPr>
            <w:tcW w:type="dxa" w:w="3499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142F3F"/>
                <w:sz w:val="19"/>
              </w:rPr>
              <w:t>Violent crime offenses</w:t>
            </w:r>
          </w:p>
        </w:tc>
        <w:tc>
          <w:tcPr>
            <w:tcW w:type="dxa" w:w="1324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9"/>
              </w:rPr>
              <w:t>591</w:t>
            </w:r>
          </w:p>
        </w:tc>
        <w:tc>
          <w:tcPr>
            <w:tcW w:type="dxa" w:w="1324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9"/>
              </w:rPr>
              <w:t>449</w:t>
            </w:r>
          </w:p>
        </w:tc>
        <w:tc>
          <w:tcPr>
            <w:tcW w:type="dxa" w:w="1324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142F3F"/>
                <w:sz w:val="19"/>
              </w:rPr>
              <w:t>419</w:t>
            </w:r>
          </w:p>
        </w:tc>
        <w:tc>
          <w:tcPr>
            <w:tcW w:type="dxa" w:w="2260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26B3A"/>
                <w:sz w:val="19"/>
              </w:rPr>
              <w:t>▼ 5-year low</w:t>
            </w:r>
          </w:p>
        </w:tc>
      </w:tr>
      <w:tr>
        <w:tc>
          <w:tcPr>
            <w:tcW w:type="dxa" w:w="3499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142F3F"/>
                <w:sz w:val="19"/>
              </w:rPr>
              <w:t>Real estate tax base</w:t>
            </w:r>
          </w:p>
        </w:tc>
        <w:tc>
          <w:tcPr>
            <w:tcW w:type="dxa" w:w="1324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9"/>
              </w:rPr>
              <w:t>$69.2B</w:t>
            </w:r>
          </w:p>
        </w:tc>
        <w:tc>
          <w:tcPr>
            <w:tcW w:type="dxa" w:w="1324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9"/>
              </w:rPr>
              <w:t>$76.2B</w:t>
            </w:r>
          </w:p>
        </w:tc>
        <w:tc>
          <w:tcPr>
            <w:tcW w:type="dxa" w:w="1324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142F3F"/>
                <w:sz w:val="19"/>
              </w:rPr>
              <w:t>$82.0B</w:t>
            </w:r>
          </w:p>
        </w:tc>
        <w:tc>
          <w:tcPr>
            <w:tcW w:type="dxa" w:w="2260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63BE7B"/>
                <w:sz w:val="19"/>
              </w:rPr>
              <w:t>▲ Growth</w:t>
            </w:r>
          </w:p>
        </w:tc>
      </w:tr>
      <w:tr>
        <w:tc>
          <w:tcPr>
            <w:tcW w:type="dxa" w:w="3499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142F3F"/>
                <w:sz w:val="19"/>
              </w:rPr>
              <w:t>Meals tax revenue</w:t>
            </w:r>
          </w:p>
        </w:tc>
        <w:tc>
          <w:tcPr>
            <w:tcW w:type="dxa" w:w="1324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9"/>
              </w:rPr>
              <w:t>$81.3M</w:t>
            </w:r>
          </w:p>
        </w:tc>
        <w:tc>
          <w:tcPr>
            <w:tcW w:type="dxa" w:w="1324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9"/>
              </w:rPr>
              <w:t>$94.1M</w:t>
            </w:r>
          </w:p>
        </w:tc>
        <w:tc>
          <w:tcPr>
            <w:tcW w:type="dxa" w:w="1324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142F3F"/>
                <w:sz w:val="19"/>
              </w:rPr>
              <w:t>$97.9M</w:t>
            </w:r>
          </w:p>
        </w:tc>
        <w:tc>
          <w:tcPr>
            <w:tcW w:type="dxa" w:w="2260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63BE7B"/>
                <w:sz w:val="19"/>
              </w:rPr>
              <w:t>▲ 4.0%</w:t>
            </w:r>
          </w:p>
        </w:tc>
      </w:tr>
      <w:tr>
        <w:tc>
          <w:tcPr>
            <w:tcW w:type="dxa" w:w="3499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142F3F"/>
                <w:sz w:val="19"/>
              </w:rPr>
              <w:t>Tourism visitors</w:t>
            </w:r>
          </w:p>
        </w:tc>
        <w:tc>
          <w:tcPr>
            <w:tcW w:type="dxa" w:w="1324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9"/>
              </w:rPr>
              <w:t>12.9M</w:t>
            </w:r>
          </w:p>
        </w:tc>
        <w:tc>
          <w:tcPr>
            <w:tcW w:type="dxa" w:w="1324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9"/>
              </w:rPr>
              <w:t>14.0M</w:t>
            </w:r>
          </w:p>
        </w:tc>
        <w:tc>
          <w:tcPr>
            <w:tcW w:type="dxa" w:w="1324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142F3F"/>
                <w:sz w:val="19"/>
              </w:rPr>
              <w:t>14.3M</w:t>
            </w:r>
          </w:p>
        </w:tc>
        <w:tc>
          <w:tcPr>
            <w:tcW w:type="dxa" w:w="2260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63BE7B"/>
                <w:sz w:val="19"/>
              </w:rPr>
              <w:t>▲ Strong</w:t>
            </w:r>
          </w:p>
        </w:tc>
      </w:tr>
      <w:tr>
        <w:tc>
          <w:tcPr>
            <w:tcW w:type="dxa" w:w="3499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142F3F"/>
                <w:sz w:val="19"/>
              </w:rPr>
              <w:t>Unemployment rate</w:t>
            </w:r>
          </w:p>
        </w:tc>
        <w:tc>
          <w:tcPr>
            <w:tcW w:type="dxa" w:w="1324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9"/>
              </w:rPr>
              <w:t>3.4%</w:t>
            </w:r>
          </w:p>
        </w:tc>
        <w:tc>
          <w:tcPr>
            <w:tcW w:type="dxa" w:w="1324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9"/>
              </w:rPr>
              <w:t>3.1%</w:t>
            </w:r>
          </w:p>
        </w:tc>
        <w:tc>
          <w:tcPr>
            <w:tcW w:type="dxa" w:w="1324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142F3F"/>
                <w:sz w:val="19"/>
              </w:rPr>
              <w:t>2.8%</w:t>
            </w:r>
          </w:p>
        </w:tc>
        <w:tc>
          <w:tcPr>
            <w:tcW w:type="dxa" w:w="2260"/>
            <w:shd w:fill="DDF3F5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26B3A"/>
                <w:sz w:val="19"/>
              </w:rPr>
              <w:t>▼ Below U.S.</w:t>
            </w:r>
          </w:p>
        </w:tc>
      </w:tr>
      <w:tr>
        <w:tc>
          <w:tcPr>
            <w:tcW w:type="dxa" w:w="3499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142F3F"/>
                <w:sz w:val="19"/>
              </w:rPr>
              <w:t>Hotel/lodging tax</w:t>
            </w:r>
          </w:p>
        </w:tc>
        <w:tc>
          <w:tcPr>
            <w:tcW w:type="dxa" w:w="1324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9"/>
              </w:rPr>
              <w:t>$44.1M</w:t>
            </w:r>
          </w:p>
        </w:tc>
        <w:tc>
          <w:tcPr>
            <w:tcW w:type="dxa" w:w="1324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142F3F"/>
                <w:sz w:val="19"/>
              </w:rPr>
              <w:t>$49.8M</w:t>
            </w:r>
          </w:p>
        </w:tc>
        <w:tc>
          <w:tcPr>
            <w:tcW w:type="dxa" w:w="1324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142F3F"/>
                <w:sz w:val="19"/>
              </w:rPr>
              <w:t>$52.2M</w:t>
            </w:r>
          </w:p>
        </w:tc>
        <w:tc>
          <w:tcPr>
            <w:tcW w:type="dxa" w:w="2260"/>
            <w:shd w:fill="FFFFFF"/>
            <w:tcMar>
              <w:top w:w="43" w:type="dxa"/>
              <w:start w:w="43" w:type="dxa"/>
              <w:bottom w:w="43" w:type="dxa"/>
              <w:end w:w="43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63BE7B"/>
                <w:sz w:val="19"/>
              </w:rPr>
              <w:t>▲ 4.8%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605"/>
        <w:gridCol w:w="9864"/>
      </w:tblGrid>
      <w:tr>
        <w:tc>
          <w:tcPr>
            <w:tcW w:type="dxa" w:w="5429"/>
            <w:shd w:fill="14A6B8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★</w:t>
            </w:r>
          </w:p>
        </w:tc>
        <w:tc>
          <w:tcPr>
            <w:tcW w:type="dxa" w:w="5429"/>
            <w:shd w:fill="FFF3D6"/>
            <w:tcMar>
              <w:top w:w="65" w:type="dxa"/>
              <w:start w:w="65" w:type="dxa"/>
              <w:bottom w:w="65" w:type="dxa"/>
              <w:end w:w="65" w:type="dxa"/>
            </w:tcMar>
            <w:vAlign w:val="center"/>
          </w:tcPr>
          <w:p>
            <w:pPr>
              <w:spacing w:before="0" w:after="20" w:line="245" w:lineRule="auto"/>
            </w:pPr>
            <w:r>
              <w:rPr>
                <w:rFonts w:ascii="Aptos" w:hAnsi="Aptos"/>
                <w:b/>
                <w:color w:val="103B57"/>
                <w:sz w:val="19"/>
              </w:rPr>
              <w:t>Recognition spotlight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9"/>
              </w:rPr>
              <w:t>Violent crime declined 29% from FY2023 to FY2025, while the City maintained AAA/Aaa bond ratings and financial-reporting recognition.</w:t>
            </w:r>
          </w:p>
        </w:tc>
      </w:tr>
    </w:tbl>
    <w:p>
      <w:pPr>
        <w:spacing w:before="6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601968" cy="530352"/>
            <wp:docPr id="6" name="Picture 6" descr="Virginia Beach report visual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2_banne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01968" cy="53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10858"/>
      </w:tblGrid>
      <w:tr>
        <w:tc>
          <w:tcPr>
            <w:tcW w:type="dxa" w:w="10858"/>
            <w:shd w:fill="103B5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DDF3F5"/>
                <w:sz w:val="18"/>
              </w:rPr>
              <w:t>PAGE 3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 Display" w:hAnsi="Aptos Display"/>
                <w:b/>
                <w:color w:val="FFFFFF"/>
                <w:sz w:val="36"/>
              </w:rPr>
              <w:t>FY2025 Financial Overview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 w:val="0"/>
                <w:color w:val="DDF3F5"/>
                <w:sz w:val="22"/>
              </w:rPr>
              <w:t>Where the money comes from and where it goes</w:t>
            </w:r>
          </w:p>
        </w:tc>
      </w:tr>
    </w:tbl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6309360" cy="566928"/>
            <wp:docPr id="4" name="Picture 4" descr="Virginia Beach financial report visua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fr_civic_phot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566928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14A6B8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  <w:tc>
          <w:tcPr>
            <w:tcW w:type="dxa" w:w="2714"/>
            <w:shd w:fill="63BE7B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  <w:tc>
          <w:tcPr>
            <w:tcW w:type="dxa" w:w="2714"/>
            <w:shd w:fill="F6C445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  <w:tc>
          <w:tcPr>
            <w:tcW w:type="dxa" w:w="2714"/>
            <w:shd w:fill="F26B3A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3619"/>
        <w:gridCol w:w="3619"/>
        <w:gridCol w:w="3619"/>
      </w:tblGrid>
      <w:tr>
        <w:tc>
          <w:tcPr>
            <w:tcW w:type="dxa" w:w="3484"/>
            <w:shd w:fill="F4F8F9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  <w:shd w:fill="F4F8F9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14A6B8"/>
                <w:sz w:val="32"/>
              </w:rPr>
              <w:t xml:space="preserve">$ </w:t>
            </w:r>
            <w:r>
              <w:rPr>
                <w:rFonts w:ascii="Aptos" w:hAnsi="Aptos"/>
                <w:b/>
                <w:color w:val="103B57"/>
                <w:sz w:val="36"/>
              </w:rPr>
              <w:t>$2.168B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142F3F"/>
                <w:sz w:val="19"/>
              </w:rPr>
              <w:t>TOTAL REVENUE</w:t>
            </w:r>
          </w:p>
        </w:tc>
        <w:tc>
          <w:tcPr>
            <w:tcW w:type="dxa" w:w="3484"/>
            <w:shd w:fill="F4F8F9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  <w:shd w:fill="F4F8F9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F26B3A"/>
                <w:sz w:val="32"/>
              </w:rPr>
              <w:t xml:space="preserve">→ </w:t>
            </w:r>
            <w:r>
              <w:rPr>
                <w:rFonts w:ascii="Aptos" w:hAnsi="Aptos"/>
                <w:b/>
                <w:color w:val="103B57"/>
                <w:sz w:val="36"/>
              </w:rPr>
              <w:t>$1.969B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142F3F"/>
                <w:sz w:val="19"/>
              </w:rPr>
              <w:t>TOTAL EXPENSES</w:t>
            </w:r>
          </w:p>
        </w:tc>
        <w:tc>
          <w:tcPr>
            <w:tcW w:type="dxa" w:w="3484"/>
            <w:shd w:fill="F4F8F9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  <w:shd w:fill="F4F8F9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63BE7B"/>
                <w:sz w:val="32"/>
              </w:rPr>
              <w:t xml:space="preserve">▲ </w:t>
            </w:r>
            <w:r>
              <w:rPr>
                <w:rFonts w:ascii="Aptos" w:hAnsi="Aptos"/>
                <w:b/>
                <w:color w:val="103B57"/>
                <w:sz w:val="36"/>
              </w:rPr>
              <w:t>$199.0M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142F3F"/>
                <w:sz w:val="19"/>
              </w:rPr>
              <w:t>INCREASE IN NET POSITION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5429"/>
        <w:gridCol w:w="5429"/>
      </w:tblGrid>
      <w:tr>
        <w:tc>
          <w:tcPr>
            <w:tcW w:type="dxa" w:w="5284"/>
            <w:shd w:fill="DDF3F5"/>
            <w:tcMar>
              <w:top w:w="75" w:type="dxa"/>
              <w:start w:w="75" w:type="dxa"/>
              <w:bottom w:w="75" w:type="dxa"/>
              <w:end w:w="75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/>
            <w:r>
              <w:rPr>
                <w:b/>
                <w:color w:val="103B57"/>
                <w:sz w:val="24"/>
              </w:rPr>
              <w:t>$  WHERE IT COMES FROM</w:t>
            </w:r>
          </w:p>
          <w:p>
            <w:pPr>
              <w:spacing w:before="0" w:after="20" w:line="245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73552" cy="1603236"/>
                  <wp:docPr id="7" name="Picture 7" descr="FY2025 revenue mix pie chart with revenue source legen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venue_pie_final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3552" cy="16032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" w:line="245" w:lineRule="auto"/>
              <w:jc w:val="center"/>
            </w:pPr>
            <w:r>
              <w:rPr>
                <w:b/>
                <w:color w:val="103B57"/>
                <w:sz w:val="22"/>
              </w:rPr>
              <w:t>TOTAL REVENUE  $2.168B</w:t>
            </w:r>
          </w:p>
        </w:tc>
        <w:tc>
          <w:tcPr>
            <w:tcW w:type="dxa" w:w="5284"/>
            <w:shd w:fill="F4F8F9"/>
            <w:tcMar>
              <w:top w:w="75" w:type="dxa"/>
              <w:start w:w="75" w:type="dxa"/>
              <w:bottom w:w="75" w:type="dxa"/>
              <w:end w:w="75" w:type="dxa"/>
            </w:tcMar>
            <w:vAlign w:val="center"/>
          </w:tcPr>
          <w:p>
            <w:pPr>
              <w:spacing w:before="0" w:after="20" w:line="245" w:lineRule="auto"/>
            </w:pPr>
            <w:r>
              <w:rPr>
                <w:rFonts w:ascii="Aptos" w:hAnsi="Aptos"/>
                <w:b/>
                <w:color w:val="103B57"/>
                <w:sz w:val="25"/>
              </w:rPr>
              <w:t>→  WHERE IT GOES</w:t>
            </w:r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1810"/>
              <w:gridCol w:w="1810"/>
              <w:gridCol w:w="1810"/>
            </w:tblGrid>
            <w:tr>
              <w:tc>
                <w:tcPr>
                  <w:tcW w:type="dxa" w:w="648"/>
                  <w:shd w:fill="103B57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ptos" w:hAnsi="Aptos"/>
                      <w:b/>
                      <w:color w:val="FFFFFF"/>
                      <w:sz w:val="19"/>
                    </w:rPr>
                  </w:r>
                </w:p>
              </w:tc>
              <w:tc>
                <w:tcPr>
                  <w:tcW w:type="dxa" w:w="2923"/>
                  <w:shd w:fill="103B57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ptos" w:hAnsi="Aptos"/>
                      <w:b/>
                      <w:color w:val="FFFFFF"/>
                      <w:sz w:val="19"/>
                    </w:rPr>
                    <w:t>SERVICE AREA</w:t>
                  </w:r>
                </w:p>
              </w:tc>
              <w:tc>
                <w:tcPr>
                  <w:tcW w:type="dxa" w:w="1267"/>
                  <w:shd w:fill="103B57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ptos" w:hAnsi="Aptos"/>
                      <w:b/>
                      <w:color w:val="FFFFFF"/>
                      <w:sz w:val="19"/>
                    </w:rPr>
                    <w:t>FY2025</w:t>
                  </w:r>
                </w:p>
              </w:tc>
            </w:tr>
            <w:tr>
              <w:tc>
                <w:tcPr>
                  <w:tcW w:type="dxa" w:w="648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jc w:val="center"/>
                  </w:pPr>
                  <w:r>
                    <w:rPr>
                      <w:b w:val="0"/>
                      <w:sz w:val="18"/>
                    </w:rPr>
                  </w:r>
                  <w:r>
                    <w:rPr>
                      <w:rFonts w:ascii="Segoe UI Symbol" w:hAnsi="Segoe UI Symbol"/>
                      <w:b w:val="0"/>
                      <w:color w:val="14A6B8"/>
                      <w:sz w:val="18"/>
                    </w:rPr>
                    <w:t>◆</w:t>
                  </w:r>
                </w:p>
              </w:tc>
              <w:tc>
                <w:tcPr>
                  <w:tcW w:type="dxa" w:w="2923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ptos" w:hAnsi="Aptos"/>
                      <w:b w:val="0"/>
                      <w:color w:val="142F3F"/>
                      <w:sz w:val="18"/>
                    </w:rPr>
                    <w:t>Education</w:t>
                  </w:r>
                </w:p>
              </w:tc>
              <w:tc>
                <w:tcPr>
                  <w:tcW w:type="dxa" w:w="1267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ptos" w:hAnsi="Aptos"/>
                      <w:b/>
                      <w:color w:val="142F3F"/>
                      <w:sz w:val="18"/>
                    </w:rPr>
                    <w:t>$465.3M</w:t>
                  </w:r>
                </w:p>
              </w:tc>
            </w:tr>
            <w:tr>
              <w:tc>
                <w:tcPr>
                  <w:tcW w:type="dxa" w:w="648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jc w:val="center"/>
                  </w:pPr>
                  <w:r>
                    <w:rPr>
                      <w:b w:val="0"/>
                      <w:sz w:val="18"/>
                    </w:rPr>
                  </w:r>
                  <w:r>
                    <w:rPr>
                      <w:rFonts w:ascii="Segoe UI Symbol" w:hAnsi="Segoe UI Symbol"/>
                      <w:b w:val="0"/>
                      <w:color w:val="14A6B8"/>
                      <w:sz w:val="18"/>
                    </w:rPr>
                    <w:t>⚙</w:t>
                  </w:r>
                </w:p>
              </w:tc>
              <w:tc>
                <w:tcPr>
                  <w:tcW w:type="dxa" w:w="2923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ptos" w:hAnsi="Aptos"/>
                      <w:b w:val="0"/>
                      <w:color w:val="142F3F"/>
                      <w:sz w:val="18"/>
                    </w:rPr>
                    <w:t>Public Works</w:t>
                  </w:r>
                </w:p>
              </w:tc>
              <w:tc>
                <w:tcPr>
                  <w:tcW w:type="dxa" w:w="1267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ptos" w:hAnsi="Aptos"/>
                      <w:b/>
                      <w:color w:val="142F3F"/>
                      <w:sz w:val="18"/>
                    </w:rPr>
                    <w:t>$199.1M</w:t>
                  </w:r>
                </w:p>
              </w:tc>
            </w:tr>
            <w:tr>
              <w:tc>
                <w:tcPr>
                  <w:tcW w:type="dxa" w:w="648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jc w:val="center"/>
                  </w:pPr>
                  <w:r>
                    <w:rPr>
                      <w:b w:val="0"/>
                      <w:sz w:val="18"/>
                    </w:rPr>
                  </w:r>
                  <w:r>
                    <w:rPr>
                      <w:rFonts w:ascii="Segoe UI Symbol" w:hAnsi="Segoe UI Symbol"/>
                      <w:b w:val="0"/>
                      <w:color w:val="14A6B8"/>
                      <w:sz w:val="18"/>
                    </w:rPr>
                    <w:t>▣</w:t>
                  </w:r>
                </w:p>
              </w:tc>
              <w:tc>
                <w:tcPr>
                  <w:tcW w:type="dxa" w:w="2923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ptos" w:hAnsi="Aptos"/>
                      <w:b w:val="0"/>
                      <w:color w:val="142F3F"/>
                      <w:sz w:val="18"/>
                    </w:rPr>
                    <w:t>General Government</w:t>
                  </w:r>
                </w:p>
              </w:tc>
              <w:tc>
                <w:tcPr>
                  <w:tcW w:type="dxa" w:w="1267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ptos" w:hAnsi="Aptos"/>
                      <w:b/>
                      <w:color w:val="142F3F"/>
                      <w:sz w:val="18"/>
                    </w:rPr>
                    <w:t>$175.2M</w:t>
                  </w:r>
                </w:p>
              </w:tc>
            </w:tr>
            <w:tr>
              <w:tc>
                <w:tcPr>
                  <w:tcW w:type="dxa" w:w="648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jc w:val="center"/>
                  </w:pPr>
                  <w:r>
                    <w:rPr>
                      <w:b w:val="0"/>
                      <w:sz w:val="18"/>
                    </w:rPr>
                  </w:r>
                  <w:r>
                    <w:rPr>
                      <w:rFonts w:ascii="Segoe UI Symbol" w:hAnsi="Segoe UI Symbol"/>
                      <w:b w:val="0"/>
                      <w:color w:val="14A6B8"/>
                      <w:sz w:val="18"/>
                    </w:rPr>
                    <w:t>♥</w:t>
                  </w:r>
                </w:p>
              </w:tc>
              <w:tc>
                <w:tcPr>
                  <w:tcW w:type="dxa" w:w="2923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ptos" w:hAnsi="Aptos"/>
                      <w:b w:val="0"/>
                      <w:color w:val="142F3F"/>
                      <w:sz w:val="18"/>
                    </w:rPr>
                    <w:t>Human Services</w:t>
                  </w:r>
                </w:p>
              </w:tc>
              <w:tc>
                <w:tcPr>
                  <w:tcW w:type="dxa" w:w="1267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ptos" w:hAnsi="Aptos"/>
                      <w:b/>
                      <w:color w:val="142F3F"/>
                      <w:sz w:val="18"/>
                    </w:rPr>
                    <w:t>$152.1M</w:t>
                  </w:r>
                </w:p>
              </w:tc>
            </w:tr>
            <w:tr>
              <w:tc>
                <w:tcPr>
                  <w:tcW w:type="dxa" w:w="648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jc w:val="center"/>
                  </w:pPr>
                  <w:r>
                    <w:rPr>
                      <w:b w:val="0"/>
                      <w:sz w:val="18"/>
                    </w:rPr>
                  </w:r>
                  <w:r>
                    <w:rPr>
                      <w:rFonts w:ascii="Segoe UI Symbol" w:hAnsi="Segoe UI Symbol"/>
                      <w:b w:val="0"/>
                      <w:color w:val="14A6B8"/>
                      <w:sz w:val="18"/>
                    </w:rPr>
                    <w:t>≈</w:t>
                  </w:r>
                </w:p>
              </w:tc>
              <w:tc>
                <w:tcPr>
                  <w:tcW w:type="dxa" w:w="2923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ptos" w:hAnsi="Aptos"/>
                      <w:b w:val="0"/>
                      <w:color w:val="142F3F"/>
                      <w:sz w:val="18"/>
                    </w:rPr>
                    <w:t>Water &amp; Sewer</w:t>
                  </w:r>
                </w:p>
              </w:tc>
              <w:tc>
                <w:tcPr>
                  <w:tcW w:type="dxa" w:w="1267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ptos" w:hAnsi="Aptos"/>
                      <w:b/>
                      <w:color w:val="142F3F"/>
                      <w:sz w:val="18"/>
                    </w:rPr>
                    <w:t>$145.3M</w:t>
                  </w:r>
                </w:p>
              </w:tc>
            </w:tr>
            <w:tr>
              <w:tc>
                <w:tcPr>
                  <w:tcW w:type="dxa" w:w="648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jc w:val="center"/>
                  </w:pPr>
                  <w:r>
                    <w:rPr>
                      <w:b w:val="0"/>
                      <w:sz w:val="18"/>
                    </w:rPr>
                  </w:r>
                  <w:r>
                    <w:rPr>
                      <w:rFonts w:ascii="Segoe UI Symbol" w:hAnsi="Segoe UI Symbol"/>
                      <w:b w:val="0"/>
                      <w:color w:val="14A6B8"/>
                      <w:sz w:val="18"/>
                    </w:rPr>
                    <w:t>★</w:t>
                  </w:r>
                </w:p>
              </w:tc>
              <w:tc>
                <w:tcPr>
                  <w:tcW w:type="dxa" w:w="2923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ptos" w:hAnsi="Aptos"/>
                      <w:b w:val="0"/>
                      <w:color w:val="142F3F"/>
                      <w:sz w:val="18"/>
                    </w:rPr>
                    <w:t>Police</w:t>
                  </w:r>
                </w:p>
              </w:tc>
              <w:tc>
                <w:tcPr>
                  <w:tcW w:type="dxa" w:w="1267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ptos" w:hAnsi="Aptos"/>
                      <w:b/>
                      <w:color w:val="142F3F"/>
                      <w:sz w:val="18"/>
                    </w:rPr>
                    <w:t>$137.9M</w:t>
                  </w:r>
                </w:p>
              </w:tc>
            </w:tr>
            <w:tr>
              <w:tc>
                <w:tcPr>
                  <w:tcW w:type="dxa" w:w="648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jc w:val="center"/>
                  </w:pPr>
                  <w:r>
                    <w:rPr>
                      <w:b w:val="0"/>
                      <w:sz w:val="18"/>
                    </w:rPr>
                  </w:r>
                  <w:r>
                    <w:rPr>
                      <w:rFonts w:ascii="Segoe UI Symbol" w:hAnsi="Segoe UI Symbol"/>
                      <w:b w:val="0"/>
                      <w:color w:val="14A6B8"/>
                      <w:sz w:val="18"/>
                    </w:rPr>
                    <w:t>▲</w:t>
                  </w:r>
                </w:p>
              </w:tc>
              <w:tc>
                <w:tcPr>
                  <w:tcW w:type="dxa" w:w="2923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ptos" w:hAnsi="Aptos"/>
                      <w:b w:val="0"/>
                      <w:color w:val="142F3F"/>
                      <w:sz w:val="18"/>
                    </w:rPr>
                    <w:t>Fire</w:t>
                  </w:r>
                </w:p>
              </w:tc>
              <w:tc>
                <w:tcPr>
                  <w:tcW w:type="dxa" w:w="1267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ptos" w:hAnsi="Aptos"/>
                      <w:b/>
                      <w:color w:val="142F3F"/>
                      <w:sz w:val="18"/>
                    </w:rPr>
                    <w:t>$94.7M</w:t>
                  </w:r>
                </w:p>
              </w:tc>
            </w:tr>
            <w:tr>
              <w:tc>
                <w:tcPr>
                  <w:tcW w:type="dxa" w:w="648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jc w:val="center"/>
                  </w:pPr>
                  <w:r>
                    <w:rPr>
                      <w:b w:val="0"/>
                      <w:sz w:val="18"/>
                    </w:rPr>
                  </w:r>
                  <w:r>
                    <w:rPr>
                      <w:rFonts w:ascii="Segoe UI Symbol" w:hAnsi="Segoe UI Symbol"/>
                      <w:b w:val="0"/>
                      <w:color w:val="14A6B8"/>
                      <w:sz w:val="18"/>
                    </w:rPr>
                    <w:t>⚖</w:t>
                  </w:r>
                </w:p>
              </w:tc>
              <w:tc>
                <w:tcPr>
                  <w:tcW w:type="dxa" w:w="2923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ptos" w:hAnsi="Aptos"/>
                      <w:b w:val="0"/>
                      <w:color w:val="142F3F"/>
                      <w:sz w:val="18"/>
                    </w:rPr>
                    <w:t>Judicial</w:t>
                  </w:r>
                </w:p>
              </w:tc>
              <w:tc>
                <w:tcPr>
                  <w:tcW w:type="dxa" w:w="1267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ptos" w:hAnsi="Aptos"/>
                      <w:b/>
                      <w:color w:val="142F3F"/>
                      <w:sz w:val="18"/>
                    </w:rPr>
                    <w:t>$91.3M</w:t>
                  </w:r>
                </w:p>
              </w:tc>
            </w:tr>
            <w:tr>
              <w:tc>
                <w:tcPr>
                  <w:tcW w:type="dxa" w:w="648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jc w:val="center"/>
                  </w:pPr>
                  <w:r>
                    <w:rPr>
                      <w:b w:val="0"/>
                      <w:sz w:val="18"/>
                    </w:rPr>
                  </w:r>
                  <w:r>
                    <w:rPr>
                      <w:rFonts w:ascii="Segoe UI Symbol" w:hAnsi="Segoe UI Symbol"/>
                      <w:b w:val="0"/>
                      <w:color w:val="14A6B8"/>
                      <w:sz w:val="18"/>
                    </w:rPr>
                    <w:t>♣</w:t>
                  </w:r>
                </w:p>
              </w:tc>
              <w:tc>
                <w:tcPr>
                  <w:tcW w:type="dxa" w:w="2923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ptos" w:hAnsi="Aptos"/>
                      <w:b w:val="0"/>
                      <w:color w:val="142F3F"/>
                      <w:sz w:val="18"/>
                    </w:rPr>
                    <w:t>Parks &amp; Recreation</w:t>
                  </w:r>
                </w:p>
              </w:tc>
              <w:tc>
                <w:tcPr>
                  <w:tcW w:type="dxa" w:w="1267"/>
                  <w:shd w:fill="DDF3F5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ptos" w:hAnsi="Aptos"/>
                      <w:b/>
                      <w:color w:val="142F3F"/>
                      <w:sz w:val="18"/>
                    </w:rPr>
                    <w:t>$68.3M</w:t>
                  </w:r>
                </w:p>
              </w:tc>
            </w:tr>
            <w:tr>
              <w:tc>
                <w:tcPr>
                  <w:tcW w:type="dxa" w:w="648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jc w:val="center"/>
                  </w:pPr>
                  <w:r>
                    <w:rPr>
                      <w:b w:val="0"/>
                      <w:sz w:val="18"/>
                    </w:rPr>
                  </w:r>
                  <w:r>
                    <w:rPr>
                      <w:rFonts w:ascii="Segoe UI Symbol" w:hAnsi="Segoe UI Symbol"/>
                      <w:b w:val="0"/>
                      <w:color w:val="14A6B8"/>
                      <w:sz w:val="18"/>
                    </w:rPr>
                    <w:t>⌂</w:t>
                  </w:r>
                </w:p>
              </w:tc>
              <w:tc>
                <w:tcPr>
                  <w:tcW w:type="dxa" w:w="2923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ptos" w:hAnsi="Aptos"/>
                      <w:b w:val="0"/>
                      <w:color w:val="142F3F"/>
                      <w:sz w:val="18"/>
                    </w:rPr>
                    <w:t>Housing</w:t>
                  </w:r>
                </w:p>
              </w:tc>
              <w:tc>
                <w:tcPr>
                  <w:tcW w:type="dxa" w:w="1267"/>
                  <w:shd w:fill="FFFFFF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ptos" w:hAnsi="Aptos"/>
                      <w:b/>
                      <w:color w:val="142F3F"/>
                      <w:sz w:val="18"/>
                    </w:rPr>
                    <w:t>$48.6M</w:t>
                  </w:r>
                </w:p>
              </w:tc>
            </w:tr>
          </w:tbl>
          <w:p>
            <w:pPr>
              <w:spacing w:before="0" w:after="20" w:line="245" w:lineRule="auto"/>
            </w:pPr>
          </w:p>
        </w:tc>
      </w:tr>
    </w:tbl>
    <w:p>
      <w:pPr>
        <w:pStyle w:val="Heading2"/>
        <w:spacing w:before="80" w:after="60"/>
      </w:pPr>
      <w:r>
        <w:t>Financial health indicators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5429"/>
        <w:gridCol w:w="5429"/>
      </w:tblGrid>
      <w:tr>
        <w:tc>
          <w:tcPr>
            <w:tcW w:type="dxa" w:w="5241"/>
            <w:shd w:fill="FFF3D6"/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  <w:shd w:fill="FFF3D6"/>
          </w:tcPr>
          <w:p>
            <w:pPr>
              <w:spacing w:before="0" w:after="40" w:line="245" w:lineRule="auto"/>
              <w:jc w:val="left"/>
            </w:pPr>
            <w:r/>
            <w:r>
              <w:rPr>
                <w:b/>
                <w:color w:val="F26B3A"/>
                <w:sz w:val="30"/>
              </w:rPr>
              <w:t xml:space="preserve">✓  </w:t>
            </w:r>
            <w:r>
              <w:rPr>
                <w:b/>
                <w:color w:val="103B57"/>
                <w:sz w:val="19"/>
              </w:rPr>
              <w:t>CLEAN AUDIT OPINION</w:t>
            </w:r>
          </w:p>
          <w:p>
            <w:pPr>
              <w:spacing w:before="0" w:after="0" w:line="245" w:lineRule="auto"/>
              <w:jc w:val="left"/>
            </w:pPr>
            <w:r>
              <w:rPr>
                <w:color w:val="142F3F"/>
                <w:sz w:val="16"/>
              </w:rPr>
              <w:t>Unmodified independent audit opinions.</w:t>
            </w:r>
          </w:p>
        </w:tc>
        <w:tc>
          <w:tcPr>
            <w:tcW w:type="dxa" w:w="5241"/>
            <w:shd w:fill="DDF3F5"/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  <w:shd w:fill="DDF3F5"/>
          </w:tcPr>
          <w:p>
            <w:pPr>
              <w:spacing w:before="0" w:after="40" w:line="245" w:lineRule="auto"/>
              <w:jc w:val="left"/>
            </w:pPr>
            <w:r/>
            <w:r>
              <w:rPr>
                <w:b/>
                <w:color w:val="14A6B8"/>
                <w:sz w:val="30"/>
              </w:rPr>
              <w:t xml:space="preserve">◆  </w:t>
            </w:r>
            <w:r>
              <w:rPr>
                <w:b/>
                <w:color w:val="103B57"/>
                <w:sz w:val="19"/>
              </w:rPr>
              <w:t>STRONG FUND BALANCE</w:t>
            </w:r>
          </w:p>
          <w:p>
            <w:pPr>
              <w:spacing w:before="0" w:after="0" w:line="245" w:lineRule="auto"/>
              <w:jc w:val="left"/>
            </w:pPr>
            <w:r>
              <w:rPr>
                <w:color w:val="142F3F"/>
                <w:sz w:val="16"/>
              </w:rPr>
              <w:t>$173.6M unassigned; 11.5% policy measure.</w:t>
            </w:r>
          </w:p>
        </w:tc>
      </w:tr>
      <w:tr>
        <w:tc>
          <w:tcPr>
            <w:tcW w:type="dxa" w:w="5241"/>
            <w:shd w:fill="FFF3D6"/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  <w:shd w:fill="FFF3D6"/>
          </w:tcPr>
          <w:p>
            <w:pPr>
              <w:spacing w:before="0" w:after="40" w:line="245" w:lineRule="auto"/>
              <w:jc w:val="left"/>
            </w:pPr>
            <w:r/>
            <w:r>
              <w:rPr>
                <w:b/>
                <w:color w:val="F26B3A"/>
                <w:sz w:val="30"/>
              </w:rPr>
              <w:t xml:space="preserve">★  </w:t>
            </w:r>
            <w:r>
              <w:rPr>
                <w:b/>
                <w:color w:val="103B57"/>
                <w:sz w:val="19"/>
              </w:rPr>
              <w:t>AAA/Aaa BOND RATINGS</w:t>
            </w:r>
          </w:p>
          <w:p>
            <w:pPr>
              <w:spacing w:before="0" w:after="0" w:line="245" w:lineRule="auto"/>
              <w:jc w:val="left"/>
            </w:pPr>
            <w:r>
              <w:rPr>
                <w:color w:val="142F3F"/>
                <w:sz w:val="16"/>
              </w:rPr>
              <w:t>Top-tier ratings support fiscal strength.</w:t>
            </w:r>
          </w:p>
        </w:tc>
        <w:tc>
          <w:tcPr>
            <w:tcW w:type="dxa" w:w="5241"/>
            <w:shd w:fill="DDF3F5"/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  <w:shd w:fill="DDF3F5"/>
          </w:tcPr>
          <w:p>
            <w:pPr>
              <w:spacing w:before="0" w:after="40" w:line="245" w:lineRule="auto"/>
              <w:jc w:val="left"/>
            </w:pPr>
            <w:r/>
            <w:r>
              <w:rPr>
                <w:b/>
                <w:color w:val="14A6B8"/>
                <w:sz w:val="30"/>
              </w:rPr>
              <w:t xml:space="preserve">▲  </w:t>
            </w:r>
            <w:r>
              <w:rPr>
                <w:b/>
                <w:color w:val="103B57"/>
                <w:sz w:val="19"/>
              </w:rPr>
              <w:t>GROWING NET POSITION</w:t>
            </w:r>
          </w:p>
          <w:p>
            <w:pPr>
              <w:spacing w:before="0" w:after="0" w:line="245" w:lineRule="auto"/>
              <w:jc w:val="left"/>
            </w:pPr>
            <w:r>
              <w:rPr>
                <w:color w:val="142F3F"/>
                <w:sz w:val="16"/>
              </w:rPr>
              <w:t>Up $199.0M to $4.692B.</w:t>
            </w:r>
          </w:p>
        </w:tc>
      </w:tr>
    </w:tbl>
    <w:p>
      <w:pPr>
        <w:jc w:val="center"/>
      </w:pPr>
      <w:r>
        <w:rPr>
          <w:rFonts w:ascii="Aptos" w:hAnsi="Aptos"/>
          <w:b w:val="0"/>
          <w:color w:val="536A75"/>
          <w:sz w:val="14"/>
        </w:rPr>
        <w:t>Source: FY2025 ACFR MD&amp;A, Table 2. Amounts are rounded; selected functions do not sum to total expenses.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10858"/>
      </w:tblGrid>
      <w:tr>
        <w:tc>
          <w:tcPr>
            <w:tcW w:type="dxa" w:w="10858"/>
            <w:shd w:fill="103B5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DDF3F5"/>
                <w:sz w:val="16"/>
              </w:rPr>
              <w:t>PAGE 4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 Display" w:hAnsi="Aptos Display"/>
                <w:b/>
                <w:color w:val="FFFFFF"/>
                <w:sz w:val="44"/>
              </w:rPr>
              <w:t>What’s Next?</w:t>
            </w:r>
          </w:p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 w:val="0"/>
                <w:color w:val="DDF3F5"/>
                <w:sz w:val="20"/>
              </w:rPr>
              <w:t>Priorities, opportunities and challenges beyond FY2025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14A6B8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  <w:tc>
          <w:tcPr>
            <w:tcW w:type="dxa" w:w="2714"/>
            <w:shd w:fill="63BE7B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  <w:tc>
          <w:tcPr>
            <w:tcW w:type="dxa" w:w="2714"/>
            <w:shd w:fill="F6C445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  <w:tc>
          <w:tcPr>
            <w:tcW w:type="dxa" w:w="2714"/>
            <w:shd w:fill="F26B3A"/>
            <w:tcMar>
              <w:top w:w="14" w:type="dxa"/>
              <w:start w:w="14" w:type="dxa"/>
              <w:bottom w:w="14" w:type="dxa"/>
              <w:end w:w="14" w:type="dxa"/>
            </w:tcMar>
            <w:vAlign w:val="center"/>
          </w:tcPr>
          <w:p>
            <w:pPr>
              <w:spacing w:before="0" w:after="20" w:line="245" w:lineRule="auto"/>
            </w:pP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720840" cy="1143000"/>
            <wp:docPr id="2" name="Picture 2" descr="Virginia Beach parks and public infrastruc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7717c59b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20840" cy="11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Looking forward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605"/>
        <w:gridCol w:w="9864"/>
      </w:tblGrid>
      <w:tr>
        <w:tc>
          <w:tcPr>
            <w:tcW w:type="dxa" w:w="5429"/>
            <w:shd w:fill="14A6B8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◇</w:t>
            </w:r>
          </w:p>
        </w:tc>
        <w:tc>
          <w:tcPr>
            <w:tcW w:type="dxa" w:w="5429"/>
            <w:shd w:fill="F4F8F9"/>
            <w:tcMar>
              <w:top w:w="65" w:type="dxa"/>
              <w:start w:w="65" w:type="dxa"/>
              <w:bottom w:w="65" w:type="dxa"/>
              <w:end w:w="65" w:type="dxa"/>
            </w:tcMar>
            <w:vAlign w:val="center"/>
          </w:tcPr>
          <w:p>
            <w:pPr>
              <w:spacing w:before="0" w:after="20" w:line="245" w:lineRule="auto"/>
            </w:pPr>
            <w:r>
              <w:rPr>
                <w:rFonts w:ascii="Aptos" w:hAnsi="Aptos"/>
                <w:b/>
                <w:color w:val="103B57"/>
                <w:sz w:val="20"/>
              </w:rPr>
              <w:t>Next strategic plan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7"/>
              </w:rPr>
              <w:t>The FY26-27 Focused Action Plan was adopted by resolution on November 25, 2025.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605"/>
        <w:gridCol w:w="9864"/>
      </w:tblGrid>
      <w:tr>
        <w:tc>
          <w:tcPr>
            <w:tcW w:type="dxa" w:w="5429"/>
            <w:shd w:fill="14A6B8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$</w:t>
            </w:r>
          </w:p>
        </w:tc>
        <w:tc>
          <w:tcPr>
            <w:tcW w:type="dxa" w:w="5429"/>
            <w:shd w:fill="F4F8F9"/>
            <w:tcMar>
              <w:top w:w="65" w:type="dxa"/>
              <w:start w:w="65" w:type="dxa"/>
              <w:bottom w:w="65" w:type="dxa"/>
              <w:end w:w="65" w:type="dxa"/>
            </w:tcMar>
            <w:vAlign w:val="center"/>
          </w:tcPr>
          <w:p>
            <w:pPr>
              <w:spacing w:before="0" w:after="20" w:line="245" w:lineRule="auto"/>
            </w:pPr>
            <w:r>
              <w:rPr>
                <w:rFonts w:ascii="Aptos" w:hAnsi="Aptos"/>
                <w:b/>
                <w:color w:val="103B57"/>
                <w:sz w:val="20"/>
              </w:rPr>
              <w:t>Economic and workforce conditions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7"/>
              </w:rPr>
              <w:t>A diverse tax base, defense activity, tourism and emerging industries remain important.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605"/>
        <w:gridCol w:w="9864"/>
      </w:tblGrid>
      <w:tr>
        <w:tc>
          <w:tcPr>
            <w:tcW w:type="dxa" w:w="5429"/>
            <w:shd w:fill="14A6B8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⌂</w:t>
            </w:r>
          </w:p>
        </w:tc>
        <w:tc>
          <w:tcPr>
            <w:tcW w:type="dxa" w:w="5429"/>
            <w:shd w:fill="F4F8F9"/>
            <w:tcMar>
              <w:top w:w="65" w:type="dxa"/>
              <w:start w:w="65" w:type="dxa"/>
              <w:bottom w:w="65" w:type="dxa"/>
              <w:end w:w="65" w:type="dxa"/>
            </w:tcMar>
            <w:vAlign w:val="center"/>
          </w:tcPr>
          <w:p>
            <w:pPr>
              <w:spacing w:before="0" w:after="20" w:line="245" w:lineRule="auto"/>
            </w:pPr>
            <w:r>
              <w:rPr>
                <w:rFonts w:ascii="Aptos" w:hAnsi="Aptos"/>
                <w:b/>
                <w:color w:val="103B57"/>
                <w:sz w:val="20"/>
              </w:rPr>
              <w:t>Housing and affordability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7"/>
              </w:rPr>
              <w:t>Limited supply, rising costs and affordability require continued attention.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605"/>
        <w:gridCol w:w="9864"/>
      </w:tblGrid>
      <w:tr>
        <w:tc>
          <w:tcPr>
            <w:tcW w:type="dxa" w:w="5429"/>
            <w:shd w:fill="14A6B8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≈</w:t>
            </w:r>
          </w:p>
        </w:tc>
        <w:tc>
          <w:tcPr>
            <w:tcW w:type="dxa" w:w="5429"/>
            <w:shd w:fill="F4F8F9"/>
            <w:tcMar>
              <w:top w:w="65" w:type="dxa"/>
              <w:start w:w="65" w:type="dxa"/>
              <w:bottom w:w="65" w:type="dxa"/>
              <w:end w:w="65" w:type="dxa"/>
            </w:tcMar>
            <w:vAlign w:val="center"/>
          </w:tcPr>
          <w:p>
            <w:pPr>
              <w:spacing w:before="0" w:after="20" w:line="245" w:lineRule="auto"/>
            </w:pPr>
            <w:r>
              <w:rPr>
                <w:rFonts w:ascii="Aptos" w:hAnsi="Aptos"/>
                <w:b/>
                <w:color w:val="103B57"/>
                <w:sz w:val="20"/>
              </w:rPr>
              <w:t>Infrastructure and resilience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7"/>
              </w:rPr>
              <w:t>Capital planning must balance maintenance, stormwater, flood protection and service needs.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605"/>
        <w:gridCol w:w="9864"/>
      </w:tblGrid>
      <w:tr>
        <w:tc>
          <w:tcPr>
            <w:tcW w:type="dxa" w:w="5429"/>
            <w:shd w:fill="14A6B8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</w:tcPr>
          <w:p>
            <w:pPr>
              <w:spacing w:before="0" w:after="20" w:line="245" w:lineRule="auto"/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▲</w:t>
            </w:r>
          </w:p>
        </w:tc>
        <w:tc>
          <w:tcPr>
            <w:tcW w:type="dxa" w:w="5429"/>
            <w:shd w:fill="F4F8F9"/>
            <w:tcMar>
              <w:top w:w="65" w:type="dxa"/>
              <w:start w:w="65" w:type="dxa"/>
              <w:bottom w:w="65" w:type="dxa"/>
              <w:end w:w="65" w:type="dxa"/>
            </w:tcMar>
            <w:vAlign w:val="center"/>
          </w:tcPr>
          <w:p>
            <w:pPr>
              <w:spacing w:before="0" w:after="20" w:line="245" w:lineRule="auto"/>
            </w:pPr>
            <w:r>
              <w:rPr>
                <w:rFonts w:ascii="Aptos" w:hAnsi="Aptos"/>
                <w:b/>
                <w:color w:val="103B57"/>
                <w:sz w:val="20"/>
              </w:rPr>
              <w:t>Fiscal sustainability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7"/>
              </w:rPr>
              <w:t>Policies emphasize service continuity, disruption readiness, debt management and public understanding.</w:t>
            </w:r>
          </w:p>
        </w:tc>
      </w:tr>
    </w:tbl>
    <w:p>
      <w:pPr>
        <w:pStyle w:val="Heading1"/>
      </w:pPr>
      <w:r>
        <w:t>Tell us what you think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5429"/>
        <w:gridCol w:w="5429"/>
      </w:tblGrid>
      <w:tr>
        <w:tc>
          <w:tcPr>
            <w:tcW w:type="dxa" w:w="5429"/>
            <w:shd w:fill="DDF3F5"/>
            <w:tcMar>
              <w:top w:w="75" w:type="dxa"/>
              <w:start w:w="75" w:type="dxa"/>
              <w:bottom w:w="75" w:type="dxa"/>
              <w:end w:w="75" w:type="dxa"/>
            </w:tcMar>
            <w:vAlign w:val="center"/>
          </w:tcPr>
          <w:p>
            <w:pPr>
              <w:spacing w:before="0" w:after="20" w:line="245" w:lineRule="auto"/>
            </w:pPr>
            <w:r>
              <w:rPr>
                <w:rFonts w:ascii="Aptos" w:hAnsi="Aptos"/>
                <w:b/>
                <w:color w:val="103B57"/>
                <w:sz w:val="20"/>
              </w:rPr>
              <w:t>Questions to consider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6"/>
              </w:rPr>
              <w:t>Which services matter most?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6"/>
              </w:rPr>
              <w:t>Are the results and costs clear?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6"/>
              </w:rPr>
              <w:t>What should future reports explain better?</w:t>
            </w:r>
          </w:p>
        </w:tc>
        <w:tc>
          <w:tcPr>
            <w:tcW w:type="dxa" w:w="5429"/>
            <w:shd w:fill="FFF3D6"/>
            <w:tcMar>
              <w:top w:w="75" w:type="dxa"/>
              <w:start w:w="75" w:type="dxa"/>
              <w:bottom w:w="75" w:type="dxa"/>
              <w:end w:w="75" w:type="dxa"/>
            </w:tcMar>
            <w:vAlign w:val="center"/>
          </w:tcPr>
          <w:p>
            <w:pPr>
              <w:spacing w:before="0" w:after="20" w:line="245" w:lineRule="auto"/>
            </w:pPr>
            <w:r>
              <w:rPr>
                <w:rFonts w:ascii="Aptos" w:hAnsi="Aptos"/>
                <w:b/>
                <w:color w:val="103B57"/>
                <w:sz w:val="20"/>
              </w:rPr>
              <w:t>Contact and source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6"/>
              </w:rPr>
              <w:t>City of Virginia Beach Department of Finance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6"/>
              </w:rPr>
              <w:t>757-385-4681 | FinController@vbgov.com</w:t>
            </w:r>
          </w:p>
          <w:p>
            <w:pPr>
              <w:spacing w:before="0" w:after="20" w:line="245" w:lineRule="auto"/>
            </w:pPr>
            <w:r>
              <w:rPr>
                <w:rFonts w:ascii="Aptos" w:hAnsi="Aptos"/>
                <w:b w:val="0"/>
                <w:color w:val="142F3F"/>
                <w:sz w:val="16"/>
              </w:rPr>
              <w:t>finance.virginiabeach.gov/financials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403" w:right="691" w:bottom="432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shd w:fill="103B57"/>
    </w:pPr>
    <w:r>
      <w:rPr>
        <w:rFonts w:ascii="Aptos" w:hAnsi="Aptos"/>
        <w:b/>
        <w:color w:val="FFFFFF"/>
        <w:sz w:val="14"/>
      </w:rPr>
      <w:t>CITY OF VIRGINIA BEACH  |  FY2025 CITIZEN-CENTRIC REPORT  |  VirginiaBeach.gov/Finance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3B5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03B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image" Target="media/image4.png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image" Target="media/image3.pn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A696ED34404446B71C55E6B013E245" ma:contentTypeVersion="19" ma:contentTypeDescription="Create a new document." ma:contentTypeScope="" ma:versionID="a6362a291933b8ff2331a1ac63f5706f">
  <xsd:schema xmlns:xsd="http://www.w3.org/2001/XMLSchema" xmlns:xs="http://www.w3.org/2001/XMLSchema" xmlns:p="http://schemas.microsoft.com/office/2006/metadata/properties" xmlns:ns2="03f51d2d-0048-471e-852d-1be5523b3377" xmlns:ns3="261c626f-14bd-4750-bc9e-773bafccb085" targetNamespace="http://schemas.microsoft.com/office/2006/metadata/properties" ma:root="true" ma:fieldsID="99ed9171c7a366d4eee43f01ed41b656" ns2:_="" ns3:_="">
    <xsd:import namespace="03f51d2d-0048-471e-852d-1be5523b3377"/>
    <xsd:import namespace="261c626f-14bd-4750-bc9e-773bafccb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51d2d-0048-471e-852d-1be5523b33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87db6f3-70db-408f-a1a6-f852f9717b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c626f-14bd-4750-bc9e-773bafccb08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85bd13-d52f-4cf1-949c-4a628788ed40}" ma:internalName="TaxCatchAll" ma:showField="CatchAllData" ma:web="261c626f-14bd-4750-bc9e-773bafccb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1c626f-14bd-4750-bc9e-773bafccb085" xsi:nil="true"/>
    <lcf76f155ced4ddcb4097134ff3c332f xmlns="03f51d2d-0048-471e-852d-1be5523b33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240508-2D9C-4013-9A07-EAE614D374D4}"/>
</file>

<file path=customXml/itemProps3.xml><?xml version="1.0" encoding="utf-8"?>
<ds:datastoreItem xmlns:ds="http://schemas.openxmlformats.org/officeDocument/2006/customXml" ds:itemID="{4381E3A3-F715-4383-9D21-9B72A2A3F660}"/>
</file>

<file path=customXml/itemProps4.xml><?xml version="1.0" encoding="utf-8"?>
<ds:datastoreItem xmlns:ds="http://schemas.openxmlformats.org/officeDocument/2006/customXml" ds:itemID="{E66CB04A-E933-418F-A3F8-7DAA469E22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Virginia Beach FY2025 Citizen-Centric Report - Award Ready</dc:title>
  <dc:subject/>
  <dc:creator>Mary Peterman</dc:creator>
  <cp:keywords/>
  <dc:description>generated by python-docx</dc:description>
  <cp:lastModifiedBy>Mary Peterman</cp:lastModifiedBy>
  <cp:revision>1</cp:revision>
  <dcterms:created xsi:type="dcterms:W3CDTF">2026-09-17T20:30:53Z</dcterms:created>
  <dcterms:modified xsi:type="dcterms:W3CDTF">2026-09-17T20:30:53Z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0x01010081A696ED34404446B71C55E6B013E245</vt:lpwstr>
  </property>
</Properties>
</file>